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D9323">
      <w:pPr>
        <w:widowControl/>
        <w:shd w:val="clear" w:color="auto" w:fill="FFFFFF"/>
        <w:spacing w:before="100" w:beforeAutospacing="1" w:after="100" w:afterAutospacing="1" w:line="480" w:lineRule="atLeast"/>
        <w:jc w:val="center"/>
        <w:rPr>
          <w:rFonts w:hint="eastAsia" w:ascii="微软雅黑" w:hAnsi="微软雅黑" w:eastAsia="微软雅黑" w:cs="宋体"/>
          <w:color w:val="4B4B4B"/>
          <w:kern w:val="0"/>
          <w:sz w:val="24"/>
          <w:szCs w:val="24"/>
        </w:rPr>
      </w:pPr>
      <w:bookmarkStart w:id="0" w:name="_GoBack"/>
      <w:bookmarkEnd w:id="0"/>
      <w:r>
        <w:rPr>
          <w:rFonts w:hint="eastAsia" w:ascii="微软雅黑" w:hAnsi="微软雅黑" w:eastAsia="微软雅黑" w:cs="宋体"/>
          <w:b/>
          <w:bCs/>
          <w:color w:val="4B4B4B"/>
          <w:kern w:val="0"/>
          <w:sz w:val="24"/>
          <w:szCs w:val="24"/>
        </w:rPr>
        <w:t>高等学校课程思政建设指导纲要</w:t>
      </w:r>
    </w:p>
    <w:p w14:paraId="7B5F8D07">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14:paraId="334E0987">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一、全面推进课程思政建设是落实立德树人根本任务的战略举措</w:t>
      </w:r>
    </w:p>
    <w:p w14:paraId="056ECFE5">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14:paraId="3DB8D89A">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二、课程思政建设是全面提高人才培养质量的重要任务</w:t>
      </w:r>
    </w:p>
    <w:p w14:paraId="4B697A7D">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14:paraId="369656DF">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三、明确课程思政建设目标要求和内容重点</w:t>
      </w:r>
    </w:p>
    <w:p w14:paraId="23A1F4F9">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14:paraId="5AE57B9F">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14:paraId="3A294766">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14:paraId="77944E67">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14:paraId="697E0CDA">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14:paraId="364A8DF3">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14:paraId="7E194E47">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深化职业理想和职业道德教育。教育引导学生深刻理解并自觉实践各行业的职业精神和职业规范，增强职业责任感，培养遵纪守法、爱岗敬业、无私奉献、诚实守信、公道办事、开拓创新的职业品格和行为习惯。</w:t>
      </w:r>
    </w:p>
    <w:p w14:paraId="5162ED5F">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四、科学设计课程思政教学体系</w:t>
      </w:r>
    </w:p>
    <w:p w14:paraId="418E3FC2">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14:paraId="392FBB14">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14:paraId="02ADE871">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14:paraId="7DAC3F24">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14:paraId="1754A378">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五、结合专业特点分类推进课程思政建设</w:t>
      </w:r>
    </w:p>
    <w:p w14:paraId="2D2D83B3">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专业课程是课程思政建设的基本载体。要深入梳理专业课教学内容，结合不同课程特点、思维方法和价值理念，深入挖掘课程思政元素，有机融入课程教学，达到润物无声的育人效果。</w:t>
      </w:r>
    </w:p>
    <w:p w14:paraId="5B484B5D">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14:paraId="6C666725">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14:paraId="7A80258F">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14:paraId="4AC1862F">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14:paraId="05AAD02C">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14:paraId="346AF322">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14:paraId="735250ED">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14:paraId="51067B5C">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高等职业学校要结合高职专业分类和课程设置情况，落实好分类推进相关要求。</w:t>
      </w:r>
    </w:p>
    <w:p w14:paraId="5F49D958">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六、将课程思政融入课堂教学建设全过程</w:t>
      </w:r>
    </w:p>
    <w:p w14:paraId="5BB9A3EC">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14:paraId="616C28AB">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七、提升教师课程思政建设的意识和能力</w:t>
      </w:r>
    </w:p>
    <w:p w14:paraId="295EE097">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14:paraId="40F16A6F">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14:paraId="2CA9A5E2">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八、建立健全课程思政建设质量评价体系和激励机制</w:t>
      </w:r>
    </w:p>
    <w:p w14:paraId="4CE76497">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14:paraId="43F7B4A9">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九、加强课程思政建设组织实施和条件保障</w:t>
      </w:r>
    </w:p>
    <w:p w14:paraId="38A5FB61">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14:paraId="7BDB5FF0">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14:paraId="3A162A04">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14:paraId="38D57A5D">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14:paraId="2AB689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MTRlYTM2OTVkYzAwYjA1YWI1OTk3ODAwOTJhYzQifQ=="/>
  </w:docVars>
  <w:rsids>
    <w:rsidRoot w:val="00200D6B"/>
    <w:rsid w:val="00200D6B"/>
    <w:rsid w:val="00547FFB"/>
    <w:rsid w:val="0D6635DC"/>
    <w:rsid w:val="1D4B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5889</Words>
  <Characters>5896</Characters>
  <Lines>42</Lines>
  <Paragraphs>12</Paragraphs>
  <TotalTime>0</TotalTime>
  <ScaleCrop>false</ScaleCrop>
  <LinksUpToDate>false</LinksUpToDate>
  <CharactersWithSpaces>5978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2020-06-12T10:35:00Z</dcterms:created>
  <dc:creator>jwk</dc:creator>
  <cp:lastModifiedBy>ZERO</cp:lastModifiedBy>
  <dcterms:modified xsi:type="dcterms:W3CDTF">2024-10-12T06:45:08Z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D54896DE19604D95A58D70CC2180C915_13</vt:lpwstr>
  </property>
</Properties>
</file>