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0448B">
      <w:pPr>
        <w:spacing w:line="360" w:lineRule="auto"/>
        <w:jc w:val="both"/>
        <w:rPr>
          <w:rFonts w:hint="eastAsia" w:ascii="方正小标宋简体" w:hAnsi="方正小标宋简体" w:eastAsia="方正小标宋简体" w:cs="方正小标宋简体"/>
          <w:snapToGrid w:val="0"/>
          <w:color w:val="000000"/>
          <w:spacing w:val="2"/>
          <w:kern w:val="0"/>
          <w:sz w:val="44"/>
          <w:szCs w:val="44"/>
          <w:lang w:val="en-US" w:eastAsia="zh-CN"/>
        </w:rPr>
      </w:pPr>
      <w:r>
        <w:rPr>
          <w:rFonts w:hint="eastAsia" w:ascii="方正小标宋简体" w:hAnsi="方正小标宋简体" w:eastAsia="方正小标宋简体" w:cs="方正小标宋简体"/>
          <w:snapToGrid w:val="0"/>
          <w:color w:val="000000"/>
          <w:spacing w:val="2"/>
          <w:kern w:val="0"/>
          <w:sz w:val="28"/>
          <w:szCs w:val="28"/>
          <w:lang w:val="en-US" w:eastAsia="zh-CN"/>
        </w:rPr>
        <w:t>附件3-2：</w:t>
      </w:r>
    </w:p>
    <w:p w14:paraId="42BD9323">
      <w:pPr>
        <w:widowControl/>
        <w:shd w:val="clear" w:color="auto" w:fill="FFFFFF"/>
        <w:spacing w:before="100" w:beforeAutospacing="1" w:after="100" w:afterAutospacing="1" w:line="480" w:lineRule="atLeast"/>
        <w:jc w:val="center"/>
        <w:rPr>
          <w:rFonts w:hint="eastAsia" w:ascii="方正小标宋简体" w:hAnsi="方正小标宋简体" w:eastAsia="方正小标宋简体" w:cs="方正小标宋简体"/>
          <w:snapToGrid w:val="0"/>
          <w:color w:val="000000"/>
          <w:spacing w:val="2"/>
          <w:kern w:val="0"/>
          <w:sz w:val="36"/>
          <w:szCs w:val="36"/>
          <w:lang w:val="en-US" w:eastAsia="zh-CN" w:bidi="ar-SA"/>
        </w:rPr>
      </w:pPr>
      <w:r>
        <w:rPr>
          <w:rFonts w:hint="eastAsia" w:ascii="方正小标宋简体" w:hAnsi="方正小标宋简体" w:eastAsia="方正小标宋简体" w:cs="方正小标宋简体"/>
          <w:snapToGrid w:val="0"/>
          <w:color w:val="000000"/>
          <w:spacing w:val="2"/>
          <w:kern w:val="0"/>
          <w:sz w:val="36"/>
          <w:szCs w:val="36"/>
          <w:lang w:val="en-US" w:eastAsia="zh-CN" w:bidi="ar-SA"/>
        </w:rPr>
        <w:t>高</w:t>
      </w:r>
      <w:bookmarkStart w:id="0" w:name="_GoBack"/>
      <w:bookmarkEnd w:id="0"/>
      <w:r>
        <w:rPr>
          <w:rFonts w:hint="eastAsia" w:ascii="方正小标宋简体" w:hAnsi="方正小标宋简体" w:eastAsia="方正小标宋简体" w:cs="方正小标宋简体"/>
          <w:snapToGrid w:val="0"/>
          <w:color w:val="000000"/>
          <w:spacing w:val="2"/>
          <w:kern w:val="0"/>
          <w:sz w:val="36"/>
          <w:szCs w:val="36"/>
          <w:lang w:val="en-US" w:eastAsia="zh-CN" w:bidi="ar-SA"/>
        </w:rPr>
        <w:t>等学校课程思政建设指导纲要</w:t>
      </w:r>
    </w:p>
    <w:p w14:paraId="7B5F8D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14:paraId="334E0987">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一、全面推进课程思政建设是落实立德树人根本任务的战略举措</w:t>
      </w:r>
    </w:p>
    <w:p w14:paraId="056ECF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14:paraId="3DB8D89A">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二、课程思政建设是全面提高人才培养质量的重要任务</w:t>
      </w:r>
    </w:p>
    <w:p w14:paraId="4B697A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14:paraId="369656DF">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三、明确课程思政建设目标要求和内容重点</w:t>
      </w:r>
    </w:p>
    <w:p w14:paraId="23A1F4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14:paraId="5AE57B9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14:paraId="3A2947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14:paraId="77944E6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14:paraId="697E0C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14:paraId="364A8D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14:paraId="7E194E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化职业理想和职业道德教育。教育引导学生深刻理解并自觉实践各行业的职业精神和职业规范，增强职业责任感，培养遵纪守法、爱岗敬业、无私奉献、诚实守信、公道办事、开拓创新的职业品格和行为习惯。</w:t>
      </w:r>
    </w:p>
    <w:p w14:paraId="5162ED5F">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四、科学设计课程思政教学体系</w:t>
      </w:r>
    </w:p>
    <w:p w14:paraId="418E3F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14:paraId="392FBB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14:paraId="02ADE8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14:paraId="7DAC3F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14:paraId="1754A378">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五、结合专业特点分类推进课程思政建设</w:t>
      </w:r>
    </w:p>
    <w:p w14:paraId="2D2D83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专业课程是课程思政建设的基本载体。要深入梳理专业课教学内容，结合不同课程特点、思维方法和价值理念，深入挖掘课程思政元素，有机融入课程教学，达到润物无声的育人效果。</w:t>
      </w:r>
    </w:p>
    <w:p w14:paraId="5B484B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14:paraId="6C6667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14:paraId="7A80258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14:paraId="4AC1862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14:paraId="05AAD0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14:paraId="346AF3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14:paraId="735250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14:paraId="51067B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高等职业学校要结合高职专业分类和课程设置情况，落实好分类推进相关要求。</w:t>
      </w:r>
    </w:p>
    <w:p w14:paraId="5F49D958">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六、将课程思政融入课堂教学建设全过程</w:t>
      </w:r>
    </w:p>
    <w:p w14:paraId="5BB9A3E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14:paraId="616C28AB">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七、提升教师课程思政建设的意识和能力</w:t>
      </w:r>
    </w:p>
    <w:p w14:paraId="295EE0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14:paraId="40F16A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14:paraId="2CA9A5E2">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八、建立健全课程思政建设质量评价体系和激励机制</w:t>
      </w:r>
    </w:p>
    <w:p w14:paraId="4CE764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14:paraId="43F7B4A9">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九、加强课程思政建设组织实施和条件保障</w:t>
      </w:r>
    </w:p>
    <w:p w14:paraId="38A5FB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14:paraId="7BDB5FF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14:paraId="3A162A0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14:paraId="38D57A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14:paraId="2AB6899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mMTRlYTM2OTVkYzAwYjA1YWI1OTk3ODAwOTJhYzQifQ=="/>
  </w:docVars>
  <w:rsids>
    <w:rsidRoot w:val="00200D6B"/>
    <w:rsid w:val="00200D6B"/>
    <w:rsid w:val="00547FFB"/>
    <w:rsid w:val="0D6635DC"/>
    <w:rsid w:val="158B4166"/>
    <w:rsid w:val="1D4B2EEF"/>
    <w:rsid w:val="2D9139BA"/>
    <w:rsid w:val="4B8509FE"/>
    <w:rsid w:val="562C3126"/>
    <w:rsid w:val="5D3C274B"/>
    <w:rsid w:val="79110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28"/>
      <w:szCs w:val="28"/>
      <w:lang w:val="en-US" w:eastAsia="en-US" w:bidi="ar-SA"/>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5735</Words>
  <Characters>5735</Characters>
  <Lines>42</Lines>
  <Paragraphs>12</Paragraphs>
  <TotalTime>0</TotalTime>
  <ScaleCrop>false</ScaleCrop>
  <LinksUpToDate>false</LinksUpToDate>
  <CharactersWithSpaces>5815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2020-06-12T10:35:00Z</dcterms:created>
  <dc:creator>jwk</dc:creator>
  <cp:lastModifiedBy>阳子伢</cp:lastModifiedBy>
  <dcterms:modified xsi:type="dcterms:W3CDTF">2025-10-10T08:27:32Z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D54896DE19604D95A58D70CC2180C915_13</vt:lpwstr>
  </property>
  <property fmtid="{D5CDD505-2E9C-101B-9397-08002B2CF9AE}" pid="4" name="KSOTemplateDocerSaveRecord">
    <vt:lpwstr>eyJoZGlkIjoiZGRiMDUwZTU4MmQ0NGZmODM5NjQ4MGY2NjdmNGIyNWUiLCJ1c2VySWQiOiI5MzIwMDkxNTIifQ==</vt:lpwstr>
  </property>
</Properties>
</file>