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585AC">
      <w:pPr>
        <w:pStyle w:val="2"/>
        <w:spacing w:beforeAutospacing="0" w:afterAutospacing="0"/>
        <w:rPr>
          <w:rFonts w:hint="eastAsia" w:ascii="黑体" w:hAnsi="黑体" w:eastAsia="黑体" w:cs="黑体"/>
          <w:b w:val="0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</w:rPr>
        <w:t>附件</w:t>
      </w:r>
      <w:r>
        <w:rPr>
          <w:rFonts w:hint="eastAsia" w:ascii="黑体" w:hAnsi="黑体" w:eastAsia="黑体" w:cs="黑体"/>
          <w:b w:val="0"/>
          <w:sz w:val="32"/>
          <w:lang w:val="en-US" w:eastAsia="zh-CN"/>
        </w:rPr>
        <w:t>1-1：</w:t>
      </w:r>
    </w:p>
    <w:p w14:paraId="2B179258">
      <w:pPr>
        <w:rPr>
          <w:rFonts w:asciiTheme="minorHAnsi" w:hAnsiTheme="minorHAnsi" w:eastAsiaTheme="minorEastAsia"/>
        </w:rPr>
      </w:pPr>
      <w:bookmarkStart w:id="0" w:name="_GoBack"/>
      <w:bookmarkEnd w:id="0"/>
    </w:p>
    <w:p w14:paraId="4821ED91">
      <w:pPr>
        <w:spacing w:line="480" w:lineRule="auto"/>
        <w:ind w:right="28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职业教育在线精品课程观测指标</w:t>
      </w:r>
    </w:p>
    <w:p w14:paraId="6D7FB775"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（</w:t>
      </w:r>
      <w:r>
        <w:rPr>
          <w:rFonts w:hint="eastAsia" w:ascii="Times New Roman" w:hAnsi="Times New Roman" w:eastAsia="黑体"/>
          <w:kern w:val="0"/>
          <w:sz w:val="28"/>
          <w:szCs w:val="28"/>
          <w:lang w:val="en-US" w:eastAsia="zh-CN"/>
        </w:rPr>
        <w:t>一</w:t>
      </w:r>
      <w:r>
        <w:rPr>
          <w:rFonts w:ascii="Times New Roman" w:hAnsi="Times New Roman" w:eastAsia="黑体"/>
          <w:kern w:val="0"/>
          <w:sz w:val="28"/>
          <w:szCs w:val="28"/>
        </w:rPr>
        <w:t>）评议性指标</w:t>
      </w:r>
    </w:p>
    <w:tbl>
      <w:tblPr>
        <w:tblStyle w:val="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329"/>
        <w:gridCol w:w="5911"/>
      </w:tblGrid>
      <w:tr w14:paraId="3FEB3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119" w:type="dxa"/>
            <w:shd w:val="clear" w:color="auto" w:fill="auto"/>
            <w:vAlign w:val="center"/>
          </w:tcPr>
          <w:p w14:paraId="4DA8866C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3C5B0A8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78936146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Cs w:val="21"/>
              </w:rPr>
              <w:t>观测点及要求</w:t>
            </w:r>
          </w:p>
        </w:tc>
      </w:tr>
      <w:tr w14:paraId="5D5D3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 w14:paraId="5911C17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授课教师团队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F1C42D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构成与要求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048AEE73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1.团队结构合理，师德师风优良，教学表现力和亲和力强，教学成果积累丰富，教学改革意识强，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数字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素养高。</w:t>
            </w:r>
          </w:p>
          <w:p w14:paraId="52F8A0E3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2.课程负责人应具有副高级及以上职称，具有丰富的教学经验和扎实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专业功底，在本专业领域具有一定影响力，同一课程负责人限牵头申报一门课程。专业课团队主要成员中应有“双师型”教师。</w:t>
            </w:r>
          </w:p>
          <w:p w14:paraId="71989B5E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3.专业课“双师型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教师及行业企业兼职教师各具特色，团队主要成员须与课程平台显示人员基本一致，配备必要的助理教师</w:t>
            </w:r>
          </w:p>
        </w:tc>
      </w:tr>
      <w:tr w14:paraId="12E3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40A0A59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4045D33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团队教学与建设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1AA6188A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1.团队拥有丰富教学经验，开展有关教学研究。</w:t>
            </w:r>
          </w:p>
          <w:p w14:paraId="223F3E90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2.团队教学能力突出、教学成果显著，获得有关教学奖励</w:t>
            </w:r>
          </w:p>
        </w:tc>
      </w:tr>
      <w:tr w14:paraId="63BF0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 w14:paraId="760EFEC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课程设计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452A2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课程定位与目标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6E90C504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1.落实立德树人根本任务，符合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highlight w:val="none"/>
                <w:lang w:val="en-US" w:eastAsia="zh-CN"/>
              </w:rPr>
              <w:t>职业教育国家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教学标准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人才培养方案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课程标准要求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，课程性质明确，与前、后接续课程衔接得当。</w:t>
            </w:r>
          </w:p>
          <w:p w14:paraId="1C9626C0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2.课程目标定位准确、条目清晰、内容具体、可评可测。</w:t>
            </w:r>
          </w:p>
          <w:p w14:paraId="713E5F3B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3.公共基础课程注重打好科学文化基础、培养学生思想政治素质、学科核心素养；专业（技能）课程注重提升专业能力、掌握专业技能，培养学生职业道德、综合素养</w:t>
            </w:r>
          </w:p>
        </w:tc>
      </w:tr>
      <w:tr w14:paraId="428CF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4902ED4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632DA15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课程结构与内容</w:t>
            </w:r>
          </w:p>
        </w:tc>
        <w:tc>
          <w:tcPr>
            <w:tcW w:w="5911" w:type="dxa"/>
            <w:vAlign w:val="center"/>
          </w:tcPr>
          <w:p w14:paraId="30D76960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1.课程内容组织与安排凸显职业教育类型特征，公共基础课程内容及时反映新知识，体现学科知识与行业（或职业）应用场景的融合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专业（技能）课程对接新产业、新业态、新模式、新职业，反映相关领域新方法、新技术、新工艺、新标准，体现行业企业参与特征，紧贴本专业相关技术领域职业岗位（群）的能力要求。</w:t>
            </w:r>
          </w:p>
          <w:p w14:paraId="7B05F303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2.落实课程思政要求，结合不同课程特点、思维方法和价值理念，挖掘课程思政元素，有机融入课程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教学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。</w:t>
            </w:r>
          </w:p>
          <w:p w14:paraId="3E926A39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3.课程内容完整、结构合理、逻辑清晰，学习单元划分合理、衔接有序、教学学时分配合理</w:t>
            </w:r>
          </w:p>
        </w:tc>
      </w:tr>
      <w:tr w14:paraId="37E05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 w14:paraId="67277C1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课程建设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FFB424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基本信息与规范</w:t>
            </w:r>
          </w:p>
        </w:tc>
        <w:tc>
          <w:tcPr>
            <w:tcW w:w="5911" w:type="dxa"/>
            <w:vAlign w:val="center"/>
          </w:tcPr>
          <w:p w14:paraId="2CF855C5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1.课程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基本信息完整，课程页面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应包括课程介绍、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教学团队、教材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选用情况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相关辅助学习材料、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相关职业类证书等信息。</w:t>
            </w:r>
          </w:p>
          <w:p w14:paraId="0A2792A8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2.课程页面布局合理、信息量适度、色彩搭配协调。</w:t>
            </w:r>
          </w:p>
          <w:p w14:paraId="7B017ECD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3.导航清晰明确，符号规范。</w:t>
            </w:r>
          </w:p>
          <w:p w14:paraId="211601F9">
            <w:pPr>
              <w:pStyle w:val="15"/>
              <w:widowControl/>
              <w:numPr>
                <w:ilvl w:val="255"/>
                <w:numId w:val="0"/>
              </w:numP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语言文字、图片、地图等使用符合相关规定</w:t>
            </w:r>
          </w:p>
        </w:tc>
      </w:tr>
      <w:tr w14:paraId="5C2F9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2C16A65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2174B6B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资源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建设与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应用</w:t>
            </w:r>
          </w:p>
        </w:tc>
        <w:tc>
          <w:tcPr>
            <w:tcW w:w="5911" w:type="dxa"/>
            <w:vAlign w:val="center"/>
          </w:tcPr>
          <w:p w14:paraId="0B08C84E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1.课程资源以自主设计与开发为主，与课程内容相匹配、全覆盖，内在逻辑合理、内容完整精炼，能够满足学校教学和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学习需求，做到能学辅教；体现课程思政建设要求，体现行业发展的前沿技术和最新成果。</w:t>
            </w:r>
          </w:p>
          <w:p w14:paraId="5BDE6C23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2.课程内容丰富、形式多样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原创度高、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质量精良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符合大众审美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，针对各模块知识点或技能点设置对应的授课视频、动画、虚拟仿真、演示文稿等教学资源和测验、作业、考试等教学活动。</w:t>
            </w:r>
          </w:p>
          <w:p w14:paraId="3549B32C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3.科学规划在线学习资源，动画、视频、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音频、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虚拟仿真等类型资源一般不少于30%</w:t>
            </w:r>
          </w:p>
        </w:tc>
      </w:tr>
      <w:tr w14:paraId="038ED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0D7C8C7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48F342E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课程管理与保障</w:t>
            </w:r>
          </w:p>
        </w:tc>
        <w:tc>
          <w:tcPr>
            <w:tcW w:w="5911" w:type="dxa"/>
            <w:vAlign w:val="center"/>
          </w:tcPr>
          <w:p w14:paraId="58EADA93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学校在线课程管理制度和机构健全，已出台在线课程教学管理办法，对课程选用、教学、评价、督导和学分认定等进行规范，做到线上与线下课程教学同管理、同要求，有支持在线课程建设和实施的激励制度，提供人员、经费等保障。</w:t>
            </w:r>
          </w:p>
          <w:p w14:paraId="2F50EB1E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2.重视知识产权等问题，与院校、企业、团队合作签署的知识产权保障协议（或书面约定）规范严谨、平等互利。</w:t>
            </w:r>
          </w:p>
          <w:p w14:paraId="15A0E87A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教材选用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lang w:val="en-US" w:eastAsia="zh-CN"/>
              </w:rPr>
              <w:t>规范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</w:rPr>
              <w:t>合理，符合有关规定。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引用资源规范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科学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，符合教学需求</w:t>
            </w:r>
          </w:p>
        </w:tc>
      </w:tr>
      <w:tr w14:paraId="6FF61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 w14:paraId="5CA5896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课程实施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62E3C3F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教学组织与安排</w:t>
            </w:r>
          </w:p>
        </w:tc>
        <w:tc>
          <w:tcPr>
            <w:tcW w:w="5911" w:type="dxa"/>
            <w:shd w:val="clear" w:color="auto" w:fill="auto"/>
          </w:tcPr>
          <w:p w14:paraId="7EA4F9AD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1.围绕学习任务，细化具体教学目标，合理把握教学进度、组织具体教学。</w:t>
            </w:r>
          </w:p>
          <w:p w14:paraId="7A013EF3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2.教学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设计科学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，恰当进行课程导入，课程重点难点讲授准确全面，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方法恰当，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合理使用案例式、探究式等多种教学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方法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。</w:t>
            </w:r>
          </w:p>
          <w:p w14:paraId="1CC61B5A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3.出镜教师教学过程中教仪教态自然大方，语言表达清晰、深入浅出，注重教学互动、激发学生学习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主动性、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积极性</w:t>
            </w:r>
          </w:p>
        </w:tc>
      </w:tr>
      <w:tr w14:paraId="72162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46BD7ED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155BBFB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教学活动与过程</w:t>
            </w:r>
          </w:p>
        </w:tc>
        <w:tc>
          <w:tcPr>
            <w:tcW w:w="5911" w:type="dxa"/>
            <w:shd w:val="clear" w:color="auto" w:fill="auto"/>
          </w:tcPr>
          <w:p w14:paraId="7B9A7315"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1.各项教学活动完整、有效，教学过程可回溯，关注教与学全过程的信息采集，教学过程材料完整。</w:t>
            </w:r>
          </w:p>
          <w:p w14:paraId="785F6732"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</w:rPr>
              <w:t>合理使用信息技术手段创新教学模式，教学过程突出学生中心，适合在线学习或混合式教学，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体现行动导向教学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</w:rPr>
              <w:t>，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</w:rPr>
              <w:t>能够激发学生学习兴趣和潜能。</w:t>
            </w:r>
          </w:p>
          <w:p w14:paraId="4A6B922C"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3.提供在线测试、即时在线反馈、作业提交和批改、网上社区讨论等学习支持服务，促进师生之间、学生之间进行资源共享、问题交流和协作学习，实现师生、生生的深度有效互动</w:t>
            </w:r>
          </w:p>
        </w:tc>
      </w:tr>
      <w:tr w14:paraId="188E3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4009C6F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556DEA0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学习考核与评价</w:t>
            </w:r>
          </w:p>
        </w:tc>
        <w:tc>
          <w:tcPr>
            <w:tcW w:w="5911" w:type="dxa"/>
            <w:shd w:val="clear" w:color="auto" w:fill="auto"/>
          </w:tcPr>
          <w:p w14:paraId="55604022"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1.建立多元化学习评价体系，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包括但不限于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结果评价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过程评价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增值评价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综合评价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。</w:t>
            </w:r>
          </w:p>
          <w:p w14:paraId="6AF23C76">
            <w:pPr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2.探索基于大数据的信息采集分析，全程记录和跟踪教师的教学和学生学习过程，形成教与学的正向反馈。</w:t>
            </w:r>
          </w:p>
          <w:p w14:paraId="4F13715E">
            <w:pPr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bCs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3.课程建设过程中，不断完善课程考核评价机制，有效反思课程建设经验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及时修正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不足，教学诊断改进积极有效</w:t>
            </w:r>
          </w:p>
        </w:tc>
      </w:tr>
      <w:tr w14:paraId="2F9CC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 w14:paraId="356F609A"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应用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效果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887775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教学效果与反馈</w:t>
            </w:r>
          </w:p>
        </w:tc>
        <w:tc>
          <w:tcPr>
            <w:tcW w:w="5911" w:type="dxa"/>
            <w:vAlign w:val="center"/>
          </w:tcPr>
          <w:p w14:paraId="174FC677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学生适应在线学习方式，可以有效开展个性化学习与合作学习，对课程的参与度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、学习获得感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，学习效果好。</w:t>
            </w:r>
          </w:p>
          <w:p w14:paraId="4F482D29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2.教师具有较强的信息化教学能力，教学团队配合默契，带动其他教育教学改革取得实质性成果。</w:t>
            </w:r>
          </w:p>
          <w:p w14:paraId="079FF2BF">
            <w:pPr>
              <w:pStyle w:val="15"/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3.学生对教师教学以及课程的满意度较高</w:t>
            </w:r>
          </w:p>
        </w:tc>
      </w:tr>
      <w:tr w14:paraId="22B7B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769063E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4C65278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技术支持与服务</w:t>
            </w:r>
          </w:p>
        </w:tc>
        <w:tc>
          <w:tcPr>
            <w:tcW w:w="5911" w:type="dxa"/>
            <w:vAlign w:val="center"/>
          </w:tcPr>
          <w:p w14:paraId="21DCD18D"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1.各类教学资源应用充分，活跃用户数占课程注册使用人数的比例较高。</w:t>
            </w:r>
          </w:p>
          <w:p w14:paraId="29C80820"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2.在线课程教学管理责任有效落实，有效防范在线刷课、替课、刷考、替考行为。</w:t>
            </w:r>
          </w:p>
          <w:p w14:paraId="4ADE7F5E">
            <w:pPr>
              <w:widowControl/>
              <w:numPr>
                <w:ilvl w:val="255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3.课程平台能够保障信息安全，能够在多种终端上运行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同时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满足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开放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用户身份数据、课程访问数据、学习行为数据以及相关运行数据等监管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要求</w:t>
            </w:r>
          </w:p>
        </w:tc>
      </w:tr>
      <w:tr w14:paraId="7DA29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19" w:type="dxa"/>
            <w:vMerge w:val="continue"/>
            <w:shd w:val="clear" w:color="auto" w:fill="auto"/>
            <w:vAlign w:val="center"/>
          </w:tcPr>
          <w:p w14:paraId="014C3CD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8DFFD4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课程示范与引领</w:t>
            </w:r>
          </w:p>
        </w:tc>
        <w:tc>
          <w:tcPr>
            <w:tcW w:w="5911" w:type="dxa"/>
          </w:tcPr>
          <w:p w14:paraId="1BD31C49"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1.在教学和课程改革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方面与同类课程相比优势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明显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，具有推广价值。</w:t>
            </w:r>
          </w:p>
          <w:p w14:paraId="53D6A2D7">
            <w:pPr>
              <w:widowControl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2.面向其他院校学生、企业员工和社会学习者开放学习，可供其他院校教师教学引用，用户使用活跃度高，应用效果良好、社会影响力大，认可度高</w:t>
            </w:r>
          </w:p>
        </w:tc>
      </w:tr>
      <w:tr w14:paraId="60951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9" w:type="dxa"/>
            <w:shd w:val="clear" w:color="auto" w:fill="auto"/>
            <w:vAlign w:val="center"/>
          </w:tcPr>
          <w:p w14:paraId="23DB2E4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课程创新</w:t>
            </w:r>
          </w:p>
        </w:tc>
        <w:tc>
          <w:tcPr>
            <w:tcW w:w="7240" w:type="dxa"/>
            <w:gridSpan w:val="2"/>
            <w:shd w:val="clear" w:color="auto" w:fill="auto"/>
            <w:vAlign w:val="center"/>
          </w:tcPr>
          <w:p w14:paraId="645BDB78"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充分彰显职业教育类型特征，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</w:rPr>
              <w:t>体现专业数字化转型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要求，能够较好解决职业教育教学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痛点难点问题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课程与教学改革理念具有原创性、教学实践效果显著，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</w:rPr>
              <w:t>在落实课程思政、优化教学内容、创新教学模式、改进教学评价、运用信息技术等方面创新明显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能够提供双语教学资源、进行双语教学等</w:t>
            </w:r>
          </w:p>
        </w:tc>
      </w:tr>
    </w:tbl>
    <w:p w14:paraId="61E0C6DC">
      <w:pPr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br w:type="page"/>
      </w:r>
    </w:p>
    <w:p w14:paraId="04FE106E"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（</w:t>
      </w:r>
      <w:r>
        <w:rPr>
          <w:rFonts w:hint="eastAsia" w:ascii="Times New Roman" w:hAnsi="Times New Roman" w:eastAsia="黑体"/>
          <w:kern w:val="0"/>
          <w:sz w:val="28"/>
          <w:szCs w:val="28"/>
          <w:lang w:val="en-US" w:eastAsia="zh-CN"/>
        </w:rPr>
        <w:t>二</w:t>
      </w:r>
      <w:r>
        <w:rPr>
          <w:rFonts w:ascii="Times New Roman" w:hAnsi="Times New Roman" w:eastAsia="黑体"/>
          <w:kern w:val="0"/>
          <w:sz w:val="28"/>
          <w:szCs w:val="28"/>
        </w:rPr>
        <w:t>）否定性指标</w:t>
      </w:r>
    </w:p>
    <w:tbl>
      <w:tblPr>
        <w:tblStyle w:val="9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3938"/>
        <w:gridCol w:w="3378"/>
      </w:tblGrid>
      <w:tr w14:paraId="04F31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123" w:type="dxa"/>
            <w:shd w:val="clear" w:color="auto" w:fill="auto"/>
            <w:vAlign w:val="center"/>
          </w:tcPr>
          <w:p w14:paraId="60C47F3B"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维度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788044E0"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具体指标</w:t>
            </w:r>
          </w:p>
        </w:tc>
        <w:tc>
          <w:tcPr>
            <w:tcW w:w="3378" w:type="dxa"/>
            <w:vAlign w:val="center"/>
          </w:tcPr>
          <w:p w14:paraId="124E03F1"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观测点及方式</w:t>
            </w:r>
          </w:p>
        </w:tc>
      </w:tr>
      <w:tr w14:paraId="4711B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restart"/>
            <w:shd w:val="clear" w:color="auto" w:fill="auto"/>
            <w:vAlign w:val="center"/>
          </w:tcPr>
          <w:p w14:paraId="0B6EA4C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课程资格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608DF923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课程与推荐申报类型不符</w:t>
            </w:r>
          </w:p>
        </w:tc>
        <w:tc>
          <w:tcPr>
            <w:tcW w:w="3378" w:type="dxa"/>
            <w:vAlign w:val="center"/>
          </w:tcPr>
          <w:p w14:paraId="4164E0B2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查看教务系统截图，核实是否是专业人才培养方案的在线课程</w:t>
            </w:r>
          </w:p>
        </w:tc>
      </w:tr>
      <w:tr w14:paraId="4AB2F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22D00C3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1B5C2E29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开设时间或期数不符合申报要求</w:t>
            </w:r>
          </w:p>
        </w:tc>
        <w:tc>
          <w:tcPr>
            <w:tcW w:w="3378" w:type="dxa"/>
            <w:vAlign w:val="center"/>
          </w:tcPr>
          <w:p w14:paraId="43D5DA0A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查看课程平台（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包括主要开课平台和其他开课平台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）运行情况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和提交的申报材料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，核实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  <w:t>总学时是否不低于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32学时</w:t>
            </w:r>
            <w:r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  <w:t>以及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申报截止日期前是否完成至少两（学）期教学实践</w:t>
            </w:r>
          </w:p>
        </w:tc>
      </w:tr>
      <w:tr w14:paraId="4E3FE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2C2DF32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4706C88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教材选用不合规</w:t>
            </w:r>
          </w:p>
        </w:tc>
        <w:tc>
          <w:tcPr>
            <w:tcW w:w="3378" w:type="dxa"/>
            <w:vAlign w:val="center"/>
          </w:tcPr>
          <w:p w14:paraId="049DCFCF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查看提交的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材料，核实选用教材是否符合《职业院校教材管理办法》等有关要求</w:t>
            </w:r>
          </w:p>
        </w:tc>
      </w:tr>
      <w:tr w14:paraId="40449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770056E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0B4D45AD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课程基本信息明显不一致</w:t>
            </w:r>
          </w:p>
        </w:tc>
        <w:tc>
          <w:tcPr>
            <w:tcW w:w="3378" w:type="dxa"/>
            <w:vAlign w:val="center"/>
          </w:tcPr>
          <w:p w14:paraId="529A04BA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查看教务系统截图，重点比对课程名称、授课教师、学时等有关说明材料</w:t>
            </w:r>
          </w:p>
        </w:tc>
      </w:tr>
      <w:tr w14:paraId="4C76A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193471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1C96BCA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课程线上教学资源、教学活动无法查看</w:t>
            </w:r>
          </w:p>
        </w:tc>
        <w:tc>
          <w:tcPr>
            <w:tcW w:w="3378" w:type="dxa"/>
            <w:vAlign w:val="center"/>
          </w:tcPr>
          <w:p w14:paraId="741F8232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网址</w:t>
            </w:r>
          </w:p>
        </w:tc>
      </w:tr>
      <w:tr w14:paraId="48FA7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1C88AF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1EA0DFC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课程含不安全外部链接</w:t>
            </w:r>
          </w:p>
        </w:tc>
        <w:tc>
          <w:tcPr>
            <w:tcW w:w="3378" w:type="dxa"/>
            <w:vAlign w:val="center"/>
          </w:tcPr>
          <w:p w14:paraId="6477FE4D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网址</w:t>
            </w:r>
          </w:p>
        </w:tc>
      </w:tr>
      <w:tr w14:paraId="4989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6F006E8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0FA2AA6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课程内容存在政治性、科学性、规范性问题</w:t>
            </w:r>
          </w:p>
        </w:tc>
        <w:tc>
          <w:tcPr>
            <w:tcW w:w="3378" w:type="dxa"/>
            <w:vAlign w:val="center"/>
          </w:tcPr>
          <w:p w14:paraId="5A5E20B7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查看课程内容和有关材料，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核实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是否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存在意识形态问题或科学性问题，是否存在其他重大规范性问题</w:t>
            </w:r>
          </w:p>
        </w:tc>
      </w:tr>
      <w:tr w14:paraId="74E42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123" w:type="dxa"/>
            <w:shd w:val="clear" w:color="auto" w:fill="auto"/>
            <w:vAlign w:val="center"/>
          </w:tcPr>
          <w:p w14:paraId="2EA282D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教师资格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68A84EA4">
            <w:p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团队成员存在师德师风方面问题</w:t>
            </w:r>
          </w:p>
        </w:tc>
        <w:tc>
          <w:tcPr>
            <w:tcW w:w="3378" w:type="dxa"/>
            <w:vAlign w:val="center"/>
          </w:tcPr>
          <w:p w14:paraId="4ADA06A5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查看“团队成员政治审查意见”以及提交的有关材料是否合规，或举报属实</w:t>
            </w:r>
          </w:p>
        </w:tc>
      </w:tr>
      <w:tr w14:paraId="58B65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restart"/>
            <w:shd w:val="clear" w:color="auto" w:fill="auto"/>
            <w:vAlign w:val="center"/>
          </w:tcPr>
          <w:p w14:paraId="2C5F008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申报材料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5DDD77E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申报材料造假</w:t>
            </w:r>
          </w:p>
        </w:tc>
        <w:tc>
          <w:tcPr>
            <w:tcW w:w="3378" w:type="dxa"/>
            <w:vAlign w:val="center"/>
          </w:tcPr>
          <w:p w14:paraId="27E28CAF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查看提交的材料，或举报属实</w:t>
            </w:r>
          </w:p>
        </w:tc>
      </w:tr>
      <w:tr w14:paraId="6C81E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vMerge w:val="continue"/>
            <w:shd w:val="clear" w:color="auto" w:fill="auto"/>
            <w:vAlign w:val="center"/>
          </w:tcPr>
          <w:p w14:paraId="06C53E7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5D59089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有侵权现象</w:t>
            </w:r>
          </w:p>
        </w:tc>
        <w:tc>
          <w:tcPr>
            <w:tcW w:w="3378" w:type="dxa"/>
            <w:vAlign w:val="center"/>
          </w:tcPr>
          <w:p w14:paraId="179E8DFD">
            <w:pPr>
              <w:widowControl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查看课程内容和有关材料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，或举报属实</w:t>
            </w:r>
          </w:p>
        </w:tc>
      </w:tr>
      <w:tr w14:paraId="4073B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3" w:type="dxa"/>
            <w:shd w:val="clear" w:color="auto" w:fill="auto"/>
            <w:vAlign w:val="center"/>
          </w:tcPr>
          <w:p w14:paraId="7D3ED3C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平台资格</w:t>
            </w:r>
          </w:p>
        </w:tc>
        <w:tc>
          <w:tcPr>
            <w:tcW w:w="3938" w:type="dxa"/>
            <w:shd w:val="clear" w:color="auto" w:fill="auto"/>
          </w:tcPr>
          <w:p w14:paraId="17869FAD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工信部ICP网站备案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公安机关网站备案号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信息安全等级保护证书未达到三级</w:t>
            </w:r>
          </w:p>
        </w:tc>
        <w:tc>
          <w:tcPr>
            <w:tcW w:w="3378" w:type="dxa"/>
            <w:vAlign w:val="center"/>
          </w:tcPr>
          <w:p w14:paraId="1BF28BE8"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查看“提供的课程访问网址”和有关材料，或举报属实</w:t>
            </w:r>
          </w:p>
        </w:tc>
      </w:tr>
    </w:tbl>
    <w:p w14:paraId="3431753E"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 w14:paraId="74773E39"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 w14:paraId="35F93FC5">
      <w:pPr>
        <w:spacing w:line="520" w:lineRule="exact"/>
        <w:ind w:right="26"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 w14:paraId="29EDD622">
      <w:pPr>
        <w:rPr>
          <w:rFonts w:ascii="Times New Roman" w:hAnsi="Times New Roman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850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F3B1C9-1BFC-4874-9E86-1D4F7481806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F82969B-CC60-48FE-8647-4201405BDC0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CD26506-24C8-42FC-80F9-7B80F3CA1DB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539F487-C010-4D48-9027-D1609A274B1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B0F7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D2A7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2D2A7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FACC070">
                          <w:pPr>
                            <w:pStyle w:val="5"/>
                            <w:rPr>
                              <w:rStyle w:val="1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HwXDx3FAQAAm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ACC070">
                    <w:pPr>
                      <w:pStyle w:val="5"/>
                      <w:rPr>
                        <w:rStyle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2F89A6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RlYTM2OTVkYzAwYjA1YWI1OTk3ODAwOTJhYzQifQ=="/>
    <w:docVar w:name="KSO_WPS_MARK_KEY" w:val="cf10db0a-a246-4e5e-956b-53c70147d7ea"/>
  </w:docVars>
  <w:rsids>
    <w:rsidRoot w:val="49CB5D72"/>
    <w:rsid w:val="00011E26"/>
    <w:rsid w:val="00017F47"/>
    <w:rsid w:val="00097966"/>
    <w:rsid w:val="001869BC"/>
    <w:rsid w:val="001E59FC"/>
    <w:rsid w:val="001F6388"/>
    <w:rsid w:val="001F7F44"/>
    <w:rsid w:val="00201AC2"/>
    <w:rsid w:val="00234B53"/>
    <w:rsid w:val="00330846"/>
    <w:rsid w:val="00355335"/>
    <w:rsid w:val="003A0AE7"/>
    <w:rsid w:val="00460FD9"/>
    <w:rsid w:val="00483918"/>
    <w:rsid w:val="004A4E83"/>
    <w:rsid w:val="004A5E9F"/>
    <w:rsid w:val="0054605D"/>
    <w:rsid w:val="0056497F"/>
    <w:rsid w:val="005775B9"/>
    <w:rsid w:val="0062161A"/>
    <w:rsid w:val="00652A0C"/>
    <w:rsid w:val="006F44D3"/>
    <w:rsid w:val="00726BC9"/>
    <w:rsid w:val="007B3C5C"/>
    <w:rsid w:val="00805874"/>
    <w:rsid w:val="0082667E"/>
    <w:rsid w:val="008A3FB6"/>
    <w:rsid w:val="008F6BD0"/>
    <w:rsid w:val="00975AE0"/>
    <w:rsid w:val="00A02D7B"/>
    <w:rsid w:val="00A81EA4"/>
    <w:rsid w:val="00AA4FA5"/>
    <w:rsid w:val="00AC37FE"/>
    <w:rsid w:val="00AF6469"/>
    <w:rsid w:val="00AF7EA9"/>
    <w:rsid w:val="00B06CAA"/>
    <w:rsid w:val="00B3406A"/>
    <w:rsid w:val="00B62F03"/>
    <w:rsid w:val="00BC11A2"/>
    <w:rsid w:val="00BF7BD2"/>
    <w:rsid w:val="00C14755"/>
    <w:rsid w:val="00CB1FC3"/>
    <w:rsid w:val="00CB46C1"/>
    <w:rsid w:val="00CE77F7"/>
    <w:rsid w:val="00D83ADC"/>
    <w:rsid w:val="00DA2A5D"/>
    <w:rsid w:val="00E2285D"/>
    <w:rsid w:val="00E41E2F"/>
    <w:rsid w:val="00F350E0"/>
    <w:rsid w:val="00FA0064"/>
    <w:rsid w:val="00FB53FA"/>
    <w:rsid w:val="01014077"/>
    <w:rsid w:val="020826AC"/>
    <w:rsid w:val="036303A2"/>
    <w:rsid w:val="05300E9B"/>
    <w:rsid w:val="084F74AA"/>
    <w:rsid w:val="0A527A89"/>
    <w:rsid w:val="0B426468"/>
    <w:rsid w:val="0C180843"/>
    <w:rsid w:val="0C6F1240"/>
    <w:rsid w:val="0E3A54E8"/>
    <w:rsid w:val="112461CF"/>
    <w:rsid w:val="159F078C"/>
    <w:rsid w:val="176462D0"/>
    <w:rsid w:val="17DF5FB7"/>
    <w:rsid w:val="18973ABB"/>
    <w:rsid w:val="18FB0EA9"/>
    <w:rsid w:val="1A9B5E86"/>
    <w:rsid w:val="1D7208BD"/>
    <w:rsid w:val="24C70F69"/>
    <w:rsid w:val="250B1E26"/>
    <w:rsid w:val="25137E21"/>
    <w:rsid w:val="26912C1C"/>
    <w:rsid w:val="27A8172A"/>
    <w:rsid w:val="298507C6"/>
    <w:rsid w:val="2B2226F5"/>
    <w:rsid w:val="37597D2D"/>
    <w:rsid w:val="38B816DE"/>
    <w:rsid w:val="3C5A3EB8"/>
    <w:rsid w:val="3D37325E"/>
    <w:rsid w:val="3E5F72B3"/>
    <w:rsid w:val="406078CC"/>
    <w:rsid w:val="412E2655"/>
    <w:rsid w:val="49CB5D72"/>
    <w:rsid w:val="49DC5046"/>
    <w:rsid w:val="4A630034"/>
    <w:rsid w:val="4CB40BE6"/>
    <w:rsid w:val="4E50267E"/>
    <w:rsid w:val="4F59374B"/>
    <w:rsid w:val="53D74A85"/>
    <w:rsid w:val="5478427C"/>
    <w:rsid w:val="55041AB8"/>
    <w:rsid w:val="5B2628FB"/>
    <w:rsid w:val="5BCF5B83"/>
    <w:rsid w:val="62E63ABE"/>
    <w:rsid w:val="6857614A"/>
    <w:rsid w:val="6C857D33"/>
    <w:rsid w:val="6C86405F"/>
    <w:rsid w:val="72F53670"/>
    <w:rsid w:val="73A1619F"/>
    <w:rsid w:val="73A6416E"/>
    <w:rsid w:val="746F7452"/>
    <w:rsid w:val="7473579E"/>
    <w:rsid w:val="766F5B60"/>
    <w:rsid w:val="76D66058"/>
    <w:rsid w:val="79782905"/>
    <w:rsid w:val="7C0A0E91"/>
    <w:rsid w:val="7C0F6FCD"/>
    <w:rsid w:val="7EE1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9"/>
    <w:qFormat/>
    <w:uiPriority w:val="0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styleId="14">
    <w:name w:val="annotation reference"/>
    <w:basedOn w:val="11"/>
    <w:qFormat/>
    <w:uiPriority w:val="0"/>
    <w:rPr>
      <w:sz w:val="21"/>
      <w:szCs w:val="21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11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9">
    <w:name w:val="批注主题 字符"/>
    <w:basedOn w:val="18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0">
    <w:name w:val="页脚 字符"/>
    <w:basedOn w:val="11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2726</Words>
  <Characters>2771</Characters>
  <Lines>19</Lines>
  <Paragraphs>5</Paragraphs>
  <TotalTime>11</TotalTime>
  <ScaleCrop>false</ScaleCrop>
  <LinksUpToDate>false</LinksUpToDate>
  <CharactersWithSpaces>2771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2021-12-06T10:10:00Z</dcterms:created>
  <dc:creator>程智宾</dc:creator>
  <cp:lastModifiedBy>阳子伢</cp:lastModifiedBy>
  <cp:lastPrinted>2023-12-27T00:31:00Z</cp:lastPrinted>
  <dcterms:modified xsi:type="dcterms:W3CDTF">2025-10-10T08:23:19Z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8A09F045C9F3482EA93981C657AA3DE4_13</vt:lpwstr>
  </property>
  <property fmtid="{D5CDD505-2E9C-101B-9397-08002B2CF9AE}" pid="4" name="KSOTemplateDocerSaveRecord">
    <vt:lpwstr>eyJoZGlkIjoiZGRiMDUwZTU4MmQ0NGZmODM5NjQ4MGY2NjdmNGIyNWUiLCJ1c2VySWQiOiI5MzIwMDkxNTIifQ==</vt:lpwstr>
  </property>
</Properties>
</file>