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670"/>
        <w:spacing w:before="185" w:line="448" w:lineRule="exact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"/>
          <w:position w:val="-2"/>
        </w:rPr>
        <w:t>开封市教体系统2026年度教学技能竞赛</w:t>
      </w:r>
    </w:p>
    <w:p>
      <w:pPr>
        <w:ind w:left="2871"/>
        <w:spacing w:before="224" w:line="445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-1"/>
          <w:position w:val="-2"/>
        </w:rPr>
        <w:t>高职组实施方案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47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一、组织领导</w:t>
      </w:r>
    </w:p>
    <w:p>
      <w:pPr>
        <w:pStyle w:val="BodyText"/>
        <w:ind w:left="5" w:right="1" w:firstLine="680"/>
        <w:spacing w:before="169" w:line="358" w:lineRule="auto"/>
        <w:jc w:val="both"/>
        <w:rPr/>
      </w:pPr>
      <w:r>
        <w:rPr>
          <w:spacing w:val="14"/>
        </w:rPr>
        <w:t>由开封市总工会、开封市教育局组成开封市教体系统</w:t>
      </w:r>
      <w:r>
        <w:rPr>
          <w:rFonts w:ascii="Times New Roman" w:hAnsi="Times New Roman" w:eastAsia="Times New Roman" w:cs="Times New Roman"/>
          <w:spacing w:val="14"/>
        </w:rPr>
        <w:t>2026</w:t>
      </w:r>
      <w:r>
        <w:rPr>
          <w:spacing w:val="5"/>
        </w:rPr>
        <w:t>年度教学技能竞赛领导小组，领导小组下设办公室、决赛评审委</w:t>
      </w:r>
      <w:r>
        <w:rPr>
          <w:spacing w:val="8"/>
        </w:rPr>
        <w:t>员会、现场决赛监督委员会和现场决赛仲裁委员会。</w:t>
      </w:r>
    </w:p>
    <w:p>
      <w:pPr>
        <w:pStyle w:val="BodyText"/>
        <w:ind w:right="2" w:firstLine="634"/>
        <w:spacing w:before="33" w:line="356" w:lineRule="auto"/>
        <w:outlineLvl w:val="0"/>
        <w:rPr/>
      </w:pPr>
      <w:r>
        <w:rPr>
          <w:rFonts w:ascii="KaiTi" w:hAnsi="KaiTi" w:eastAsia="KaiTi" w:cs="KaiTi"/>
          <w:spacing w:val="5"/>
        </w:rPr>
        <w:t>（一）办公室。</w:t>
      </w:r>
      <w:r>
        <w:rPr>
          <w:spacing w:val="5"/>
        </w:rPr>
        <w:t>办公室设在市教科文卫体工会，成员由市教</w:t>
      </w:r>
      <w:r>
        <w:rPr>
          <w:spacing w:val="5"/>
        </w:rPr>
        <w:t>科文卫体工会、市教育局人事科和承办单位相关人员组成，负责</w:t>
      </w:r>
    </w:p>
    <w:p>
      <w:pPr>
        <w:pStyle w:val="BodyText"/>
        <w:ind w:left="12"/>
        <w:spacing w:before="4" w:line="219" w:lineRule="auto"/>
        <w:rPr/>
      </w:pPr>
      <w:r>
        <w:rPr>
          <w:spacing w:val="5"/>
        </w:rPr>
        <w:t>竞赛日常工作。</w:t>
      </w:r>
    </w:p>
    <w:p>
      <w:pPr>
        <w:pStyle w:val="BodyText"/>
        <w:ind w:left="5" w:right="2" w:firstLine="629"/>
        <w:spacing w:before="235" w:line="356" w:lineRule="auto"/>
        <w:outlineLvl w:val="0"/>
        <w:rPr/>
      </w:pPr>
      <w:r>
        <w:rPr>
          <w:rFonts w:ascii="KaiTi" w:hAnsi="KaiTi" w:eastAsia="KaiTi" w:cs="KaiTi"/>
          <w:spacing w:val="5"/>
        </w:rPr>
        <w:t>（二）决赛评审委员会。</w:t>
      </w:r>
      <w:r>
        <w:rPr>
          <w:spacing w:val="5"/>
        </w:rPr>
        <w:t>成员由相关专业的全市教学名师和</w:t>
      </w:r>
      <w:r>
        <w:rPr>
          <w:spacing w:val="8"/>
        </w:rPr>
        <w:t>知名专家教授组成，独立、公正开展评审工作。</w:t>
      </w:r>
    </w:p>
    <w:p>
      <w:pPr>
        <w:pStyle w:val="BodyText"/>
        <w:ind w:left="1" w:right="2" w:firstLine="632"/>
        <w:spacing w:before="4" w:line="356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2"/>
        </w:rPr>
        <w:t xml:space="preserve"> </w:t>
      </w:r>
      <w:r>
        <w:rPr>
          <w:rFonts w:ascii="KaiTi" w:hAnsi="KaiTi" w:eastAsia="KaiTi" w:cs="KaiTi"/>
          <w:spacing w:val="2"/>
        </w:rPr>
        <w:t>三）现场决赛仲裁委员会。</w:t>
      </w:r>
      <w:r>
        <w:rPr>
          <w:spacing w:val="2"/>
        </w:rPr>
        <w:t>成员由主办方、承办方、决赛</w:t>
      </w:r>
      <w:r>
        <w:rPr>
          <w:spacing w:val="9"/>
        </w:rPr>
        <w:t>评委会和现场决赛监委会相关人员组成，负责处理赛事争议。</w:t>
      </w:r>
    </w:p>
    <w:p>
      <w:pPr>
        <w:ind w:left="647"/>
        <w:spacing w:before="2" w:line="234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二、省赛现场决赛时间及地点</w:t>
      </w:r>
    </w:p>
    <w:p>
      <w:pPr>
        <w:pStyle w:val="BodyText"/>
        <w:ind w:left="31" w:firstLine="620"/>
        <w:spacing w:before="161" w:line="347" w:lineRule="auto"/>
        <w:rPr/>
      </w:pPr>
      <w:r>
        <w:rPr>
          <w:spacing w:val="11"/>
        </w:rPr>
        <w:t>省赛现场决赛拟于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2026 </w:t>
      </w:r>
      <w:r>
        <w:rPr>
          <w:spacing w:val="11"/>
        </w:rPr>
        <w:t>年</w:t>
      </w:r>
      <w:r>
        <w:rPr>
          <w:rFonts w:ascii="Times New Roman" w:hAnsi="Times New Roman" w:eastAsia="Times New Roman" w:cs="Times New Roman"/>
          <w:spacing w:val="11"/>
        </w:rPr>
        <w:t>8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1"/>
        </w:rPr>
        <w:t>月在洛阳理工学院举</w:t>
      </w:r>
      <w:r>
        <w:rPr>
          <w:spacing w:val="10"/>
        </w:rPr>
        <w:t>办，具体</w:t>
      </w:r>
      <w:r>
        <w:rPr>
          <w:spacing w:val="5"/>
        </w:rPr>
        <w:t>时间及相关事项另行通知。</w:t>
      </w:r>
    </w:p>
    <w:p>
      <w:pPr>
        <w:ind w:left="648"/>
        <w:spacing w:before="92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三、决赛科目</w:t>
      </w:r>
    </w:p>
    <w:p>
      <w:pPr>
        <w:pStyle w:val="BodyText"/>
        <w:ind w:left="58" w:firstLine="582"/>
        <w:spacing w:before="171" w:line="339" w:lineRule="auto"/>
        <w:rPr/>
      </w:pPr>
      <w:r>
        <w:rPr>
          <w:rFonts w:ascii="Times New Roman" w:hAnsi="Times New Roman" w:eastAsia="Times New Roman" w:cs="Times New Roman"/>
          <w:spacing w:val="15"/>
        </w:rPr>
        <w:t>2026 </w:t>
      </w:r>
      <w:r>
        <w:rPr>
          <w:spacing w:val="15"/>
        </w:rPr>
        <w:t>年度教学技能竞赛高职组决赛共设</w:t>
      </w:r>
      <w:r>
        <w:rPr>
          <w:rFonts w:ascii="Times New Roman" w:hAnsi="Times New Roman" w:eastAsia="Times New Roman" w:cs="Times New Roman"/>
          <w:spacing w:val="15"/>
        </w:rPr>
        <w:t>3 </w:t>
      </w:r>
      <w:r>
        <w:rPr>
          <w:spacing w:val="15"/>
        </w:rPr>
        <w:t>个科目，</w:t>
      </w:r>
      <w:r>
        <w:rPr>
          <w:spacing w:val="15"/>
          <w:position w:val="1"/>
        </w:rPr>
        <w:t>具体科</w:t>
      </w:r>
      <w:r>
        <w:rPr>
          <w:spacing w:val="-11"/>
        </w:rPr>
        <w:t>目如下：</w:t>
      </w:r>
    </w:p>
    <w:p>
      <w:pPr>
        <w:spacing w:line="339" w:lineRule="auto"/>
        <w:sectPr>
          <w:headerReference w:type="default" r:id="rId1"/>
          <w:footerReference w:type="default" r:id="rId2"/>
          <w:pgSz w:w="11906" w:h="16839"/>
          <w:pgMar w:top="2276" w:right="1530" w:bottom="1454" w:left="1542" w:header="1844" w:footer="1004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1" w:right="156" w:firstLine="635"/>
        <w:spacing w:before="101" w:line="343" w:lineRule="auto"/>
        <w:rPr/>
      </w:pPr>
      <w:r>
        <w:rPr>
          <w:b/>
          <w:bCs/>
          <w:spacing w:val="4"/>
        </w:rPr>
        <w:t>公共基础</w:t>
      </w:r>
      <w:r>
        <w:rPr>
          <w:spacing w:val="4"/>
        </w:rPr>
        <w:t>（含语文、数学、外语、思政、体育、美育、信息</w:t>
      </w:r>
      <w:r>
        <w:rPr>
          <w:spacing w:val="8"/>
        </w:rPr>
        <w:t>技术等公共基础课程</w:t>
      </w:r>
      <w:r>
        <w:rPr/>
        <w:t>）；</w:t>
      </w:r>
    </w:p>
    <w:p>
      <w:pPr>
        <w:pStyle w:val="BodyText"/>
        <w:ind w:left="45" w:right="83" w:firstLine="617"/>
        <w:spacing w:before="1" w:line="351" w:lineRule="auto"/>
        <w:rPr/>
      </w:pPr>
      <w:r>
        <w:rPr>
          <w:b/>
          <w:bCs/>
          <w:spacing w:val="8"/>
        </w:rPr>
        <w:t>文科综合</w:t>
      </w:r>
      <w:r>
        <w:rPr>
          <w:spacing w:val="8"/>
        </w:rPr>
        <w:t>（含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53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8"/>
        </w:rPr>
        <w:t>财经商贸、</w:t>
      </w:r>
      <w:r>
        <w:rPr>
          <w:rFonts w:ascii="Times New Roman" w:hAnsi="Times New Roman" w:eastAsia="Times New Roman" w:cs="Times New Roman"/>
          <w:spacing w:val="8"/>
        </w:rPr>
        <w:t>54 </w:t>
      </w:r>
      <w:r>
        <w:rPr>
          <w:spacing w:val="8"/>
        </w:rPr>
        <w:t>旅游、</w:t>
      </w:r>
      <w:r>
        <w:rPr>
          <w:rFonts w:ascii="Times New Roman" w:hAnsi="Times New Roman" w:eastAsia="Times New Roman" w:cs="Times New Roman"/>
          <w:spacing w:val="8"/>
        </w:rPr>
        <w:t>55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8"/>
        </w:rPr>
        <w:t>文</w:t>
      </w:r>
      <w:r>
        <w:rPr>
          <w:spacing w:val="7"/>
        </w:rPr>
        <w:t>化艺术、</w:t>
      </w:r>
      <w:r>
        <w:rPr>
          <w:rFonts w:ascii="Times New Roman" w:hAnsi="Times New Roman" w:eastAsia="Times New Roman" w:cs="Times New Roman"/>
          <w:spacing w:val="7"/>
        </w:rPr>
        <w:t>56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7"/>
        </w:rPr>
        <w:t>新</w:t>
      </w:r>
      <w:r>
        <w:rPr>
          <w:spacing w:val="3"/>
        </w:rPr>
        <w:t>闻传播、</w:t>
      </w:r>
      <w:r>
        <w:rPr>
          <w:rFonts w:ascii="Times New Roman" w:hAnsi="Times New Roman" w:eastAsia="Times New Roman" w:cs="Times New Roman"/>
          <w:spacing w:val="3"/>
        </w:rPr>
        <w:t>57 </w:t>
      </w:r>
      <w:r>
        <w:rPr>
          <w:spacing w:val="3"/>
        </w:rPr>
        <w:t>教育与体育、</w:t>
      </w:r>
      <w:r>
        <w:rPr>
          <w:rFonts w:ascii="Times New Roman" w:hAnsi="Times New Roman" w:eastAsia="Times New Roman" w:cs="Times New Roman"/>
          <w:spacing w:val="3"/>
        </w:rPr>
        <w:t>58 </w:t>
      </w:r>
      <w:r>
        <w:rPr>
          <w:spacing w:val="3"/>
        </w:rPr>
        <w:t>公安与司法、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2"/>
        </w:rPr>
        <w:t>9 </w:t>
      </w:r>
      <w:r>
        <w:rPr>
          <w:spacing w:val="2"/>
        </w:rPr>
        <w:t>公共管理与服务</w:t>
      </w:r>
      <w:r>
        <w:rPr>
          <w:spacing w:val="-69"/>
        </w:rPr>
        <w:t>）；</w:t>
      </w:r>
    </w:p>
    <w:p>
      <w:pPr>
        <w:pStyle w:val="BodyText"/>
        <w:ind w:right="58" w:firstLine="651"/>
        <w:spacing w:before="21" w:line="355" w:lineRule="auto"/>
        <w:jc w:val="both"/>
        <w:rPr/>
      </w:pPr>
      <w:r>
        <w:rPr>
          <w:b/>
          <w:bCs/>
          <w:spacing w:val="4"/>
        </w:rPr>
        <w:t>理工综合</w:t>
      </w:r>
      <w:r>
        <w:rPr>
          <w:spacing w:val="4"/>
        </w:rPr>
        <w:t>（含</w:t>
      </w:r>
      <w:r>
        <w:rPr>
          <w:rFonts w:ascii="Times New Roman" w:hAnsi="Times New Roman" w:eastAsia="Times New Roman" w:cs="Times New Roman"/>
          <w:spacing w:val="4"/>
        </w:rPr>
        <w:t>41 </w:t>
      </w:r>
      <w:r>
        <w:rPr>
          <w:spacing w:val="4"/>
        </w:rPr>
        <w:t>农林牧渔、</w:t>
      </w:r>
      <w:r>
        <w:rPr>
          <w:rFonts w:ascii="Times New Roman" w:hAnsi="Times New Roman" w:eastAsia="Times New Roman" w:cs="Times New Roman"/>
          <w:spacing w:val="4"/>
        </w:rPr>
        <w:t>42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4"/>
        </w:rPr>
        <w:t>资源环境与安全、</w:t>
      </w:r>
      <w:r>
        <w:rPr>
          <w:rFonts w:ascii="Times New Roman" w:hAnsi="Times New Roman" w:eastAsia="Times New Roman" w:cs="Times New Roman"/>
          <w:spacing w:val="4"/>
        </w:rPr>
        <w:t>43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4"/>
        </w:rPr>
        <w:t>能源动</w:t>
      </w:r>
      <w:r>
        <w:rPr>
          <w:spacing w:val="-3"/>
        </w:rPr>
        <w:t>力与材料、</w:t>
      </w:r>
      <w:r>
        <w:rPr>
          <w:rFonts w:ascii="Times New Roman" w:hAnsi="Times New Roman" w:eastAsia="Times New Roman" w:cs="Times New Roman"/>
          <w:spacing w:val="-3"/>
        </w:rPr>
        <w:t>44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3"/>
        </w:rPr>
        <w:t>土木建筑、</w:t>
      </w:r>
      <w:r>
        <w:rPr>
          <w:rFonts w:ascii="Times New Roman" w:hAnsi="Times New Roman" w:eastAsia="Times New Roman" w:cs="Times New Roman"/>
          <w:spacing w:val="-3"/>
        </w:rPr>
        <w:t>45 </w:t>
      </w:r>
      <w:r>
        <w:rPr>
          <w:spacing w:val="-3"/>
        </w:rPr>
        <w:t>水利、</w:t>
      </w:r>
      <w:r>
        <w:rPr>
          <w:rFonts w:ascii="Times New Roman" w:hAnsi="Times New Roman" w:eastAsia="Times New Roman" w:cs="Times New Roman"/>
          <w:spacing w:val="-3"/>
        </w:rPr>
        <w:t>46 </w:t>
      </w:r>
      <w:r>
        <w:rPr>
          <w:spacing w:val="-3"/>
        </w:rPr>
        <w:t>装备制</w:t>
      </w:r>
      <w:r>
        <w:rPr>
          <w:spacing w:val="-4"/>
        </w:rPr>
        <w:t>造、</w:t>
      </w:r>
      <w:r>
        <w:rPr>
          <w:rFonts w:ascii="Times New Roman" w:hAnsi="Times New Roman" w:eastAsia="Times New Roman" w:cs="Times New Roman"/>
          <w:spacing w:val="-4"/>
        </w:rPr>
        <w:t>47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-4"/>
        </w:rPr>
        <w:t>生物与化工、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6"/>
        </w:rPr>
        <w:t>48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6"/>
        </w:rPr>
        <w:t>轻工纺织、</w:t>
      </w:r>
      <w:r>
        <w:rPr>
          <w:rFonts w:ascii="Times New Roman" w:hAnsi="Times New Roman" w:eastAsia="Times New Roman" w:cs="Times New Roman"/>
          <w:spacing w:val="-6"/>
        </w:rPr>
        <w:t>49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6"/>
        </w:rPr>
        <w:t>食品药品与粮食、</w:t>
      </w:r>
      <w:r>
        <w:rPr>
          <w:rFonts w:ascii="Times New Roman" w:hAnsi="Times New Roman" w:eastAsia="Times New Roman" w:cs="Times New Roman"/>
          <w:spacing w:val="-6"/>
        </w:rPr>
        <w:t>50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6"/>
        </w:rPr>
        <w:t>交通运输、</w:t>
      </w:r>
      <w:r>
        <w:rPr>
          <w:rFonts w:ascii="Times New Roman" w:hAnsi="Times New Roman" w:eastAsia="Times New Roman" w:cs="Times New Roman"/>
          <w:spacing w:val="-6"/>
        </w:rPr>
        <w:t>51</w:t>
      </w:r>
      <w:r>
        <w:rPr>
          <w:rFonts w:ascii="Times New Roman" w:hAnsi="Times New Roman" w:eastAsia="Times New Roman" w:cs="Times New Roman"/>
          <w:spacing w:val="53"/>
        </w:rPr>
        <w:t xml:space="preserve"> </w:t>
      </w:r>
      <w:r>
        <w:rPr>
          <w:spacing w:val="-6"/>
        </w:rPr>
        <w:t>电子与信息、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"/>
        </w:rPr>
        <w:t>52</w:t>
      </w:r>
      <w:r>
        <w:rPr>
          <w:rFonts w:ascii="Times New Roman" w:hAnsi="Times New Roman" w:eastAsia="Times New Roman" w:cs="Times New Roman"/>
          <w:spacing w:val="58"/>
          <w:w w:val="101"/>
        </w:rPr>
        <w:t xml:space="preserve"> </w:t>
      </w:r>
      <w:r>
        <w:rPr>
          <w:spacing w:val="-1"/>
        </w:rPr>
        <w:t>医药卫生）。</w:t>
      </w:r>
    </w:p>
    <w:p>
      <w:pPr>
        <w:pStyle w:val="BodyText"/>
        <w:ind w:firstLine="647"/>
        <w:spacing w:before="6" w:line="353" w:lineRule="auto"/>
        <w:jc w:val="both"/>
        <w:rPr/>
      </w:pPr>
      <w:r>
        <w:rPr>
          <w:spacing w:val="-4"/>
        </w:rPr>
        <w:t>科目划分主要参照《普通高等学校本科专业目录（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5"/>
        </w:rPr>
        <w:t>年）》</w:t>
      </w:r>
      <w:r>
        <w:rPr/>
        <w:t xml:space="preserve"> </w:t>
      </w:r>
      <w:r>
        <w:rPr>
          <w:spacing w:val="12"/>
        </w:rPr>
        <w:t>《研究生教育学科专业目录（</w:t>
      </w:r>
      <w:r>
        <w:rPr>
          <w:rFonts w:ascii="Times New Roman" w:hAnsi="Times New Roman" w:eastAsia="Times New Roman" w:cs="Times New Roman"/>
          <w:spacing w:val="12"/>
        </w:rPr>
        <w:t>2022</w:t>
      </w:r>
      <w:r>
        <w:rPr>
          <w:rFonts w:ascii="Times New Roman" w:hAnsi="Times New Roman" w:eastAsia="Times New Roman" w:cs="Times New Roman"/>
          <w:spacing w:val="42"/>
          <w:w w:val="101"/>
        </w:rPr>
        <w:t xml:space="preserve"> </w:t>
      </w:r>
      <w:r>
        <w:rPr>
          <w:spacing w:val="12"/>
        </w:rPr>
        <w:t>年）》</w:t>
      </w:r>
      <w:hyperlink w:history="true" r:id="rId5">
        <w:r>
          <w:rPr>
            <w:spacing w:val="12"/>
          </w:rPr>
          <w:t>《职业教育专业目录</w:t>
        </w:r>
      </w:hyperlink>
      <w:hyperlink w:history="true" r:id="rId5">
        <w:r>
          <w:rPr>
            <w:spacing w:val="6"/>
          </w:rPr>
          <w:t>（</w:t>
        </w:r>
        <w:r>
          <w:rPr>
            <w:rFonts w:ascii="Times New Roman" w:hAnsi="Times New Roman" w:eastAsia="Times New Roman" w:cs="Times New Roman"/>
            <w:spacing w:val="6"/>
          </w:rPr>
          <w:t>2021 </w:t>
        </w:r>
        <w:r>
          <w:rPr>
            <w:spacing w:val="6"/>
          </w:rPr>
          <w:t>年</w:t>
        </w:r>
        <w:r>
          <w:rPr>
            <w:spacing w:val="-53"/>
          </w:rPr>
          <w:t>）（</w:t>
        </w:r>
        <w:r>
          <w:rPr>
            <w:spacing w:val="6"/>
          </w:rPr>
          <w:t>更新时间：</w:t>
        </w:r>
        <w:r>
          <w:rPr>
            <w:rFonts w:ascii="Times New Roman" w:hAnsi="Times New Roman" w:eastAsia="Times New Roman" w:cs="Times New Roman"/>
            <w:spacing w:val="6"/>
          </w:rPr>
          <w:t>2025 </w:t>
        </w:r>
        <w:r>
          <w:rPr>
            <w:spacing w:val="6"/>
          </w:rPr>
          <w:t>年</w:t>
        </w:r>
        <w:r>
          <w:rPr>
            <w:spacing w:val="-38"/>
          </w:rPr>
          <w:t xml:space="preserve"> </w:t>
        </w:r>
        <w:r>
          <w:rPr>
            <w:rFonts w:ascii="Times New Roman" w:hAnsi="Times New Roman" w:eastAsia="Times New Roman" w:cs="Times New Roman"/>
            <w:spacing w:val="6"/>
          </w:rPr>
          <w:t>12</w:t>
        </w:r>
        <w:r>
          <w:rPr>
            <w:rFonts w:ascii="Times New Roman" w:hAnsi="Times New Roman" w:eastAsia="Times New Roman" w:cs="Times New Roman"/>
            <w:spacing w:val="32"/>
          </w:rPr>
          <w:t xml:space="preserve"> </w:t>
        </w:r>
        <w:r>
          <w:rPr>
            <w:spacing w:val="6"/>
          </w:rPr>
          <w:t>月）》</w:t>
        </w:r>
      </w:hyperlink>
      <w:r>
        <w:rPr>
          <w:spacing w:val="6"/>
        </w:rPr>
        <w:t>，以参赛课程归</w:t>
      </w:r>
      <w:r>
        <w:rPr>
          <w:spacing w:val="5"/>
        </w:rPr>
        <w:t>属的</w:t>
      </w:r>
      <w:r>
        <w:rPr>
          <w:spacing w:val="5"/>
        </w:rPr>
        <w:t>学科门类或专业大类为唯一依据，而不以授课对象是何院系或专</w:t>
      </w:r>
      <w:r>
        <w:rPr>
          <w:spacing w:val="5"/>
        </w:rPr>
        <w:t>业的学生为依据。公共基础课程原则以《职业教育专业教学标准</w:t>
      </w:r>
      <w:r>
        <w:rPr>
          <w:spacing w:val="10"/>
        </w:rPr>
        <w:t>—</w:t>
      </w:r>
      <w:r>
        <w:rPr>
          <w:rFonts w:ascii="Times New Roman" w:hAnsi="Times New Roman" w:eastAsia="Times New Roman" w:cs="Times New Roman"/>
          <w:spacing w:val="10"/>
        </w:rPr>
        <w:t>2025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10"/>
        </w:rPr>
        <w:t>年修订》</w:t>
      </w:r>
      <w:r>
        <w:rPr>
          <w:spacing w:val="-91"/>
        </w:rPr>
        <w:t xml:space="preserve"> </w:t>
      </w:r>
      <w:r>
        <w:rPr>
          <w:spacing w:val="10"/>
        </w:rPr>
        <w:t>明确的公共基础课程为依据。如参赛课程所属</w:t>
      </w:r>
      <w:r>
        <w:rPr>
          <w:spacing w:val="5"/>
        </w:rPr>
        <w:t>专业代码不在上述范围内，需提前书面联系省教学技能竞赛领导</w:t>
      </w:r>
      <w:r>
        <w:rPr>
          <w:spacing w:val="8"/>
        </w:rPr>
        <w:t>小组成员办公室确认参赛科目。</w:t>
      </w:r>
    </w:p>
    <w:p>
      <w:pPr>
        <w:ind w:left="667"/>
        <w:spacing w:before="112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四、参赛名额</w:t>
      </w:r>
    </w:p>
    <w:p>
      <w:pPr>
        <w:pStyle w:val="BodyText"/>
        <w:ind w:left="2" w:right="156" w:firstLine="659"/>
        <w:spacing w:before="164" w:line="352" w:lineRule="auto"/>
        <w:rPr/>
      </w:pPr>
      <w:r>
        <w:rPr>
          <w:spacing w:val="7"/>
        </w:rPr>
        <w:t>高职组每院校每学科报名不得超过</w:t>
      </w:r>
      <w:r>
        <w:rPr>
          <w:rFonts w:ascii="Times New Roman" w:hAnsi="Times New Roman" w:eastAsia="Times New Roman" w:cs="Times New Roman"/>
          <w:spacing w:val="7"/>
        </w:rPr>
        <w:t>3 </w:t>
      </w:r>
      <w:r>
        <w:rPr>
          <w:spacing w:val="7"/>
        </w:rPr>
        <w:t>人，推荐每个科目第一</w:t>
      </w:r>
      <w:r>
        <w:rPr>
          <w:spacing w:val="8"/>
        </w:rPr>
        <w:t>名选手参加省级视频决赛。</w:t>
      </w:r>
    </w:p>
    <w:p>
      <w:pPr>
        <w:ind w:left="657"/>
        <w:spacing w:before="72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五、省赛决赛组织形式</w:t>
      </w:r>
    </w:p>
    <w:p>
      <w:pPr>
        <w:pStyle w:val="BodyText"/>
        <w:ind w:left="51" w:right="153" w:firstLine="640"/>
        <w:spacing w:before="221" w:line="356" w:lineRule="auto"/>
        <w:rPr/>
      </w:pPr>
      <w:r>
        <w:rPr>
          <w:spacing w:val="3"/>
        </w:rPr>
        <w:t>由省教学技能竞赛领导小组组织实施，分两步进行，第一步</w:t>
      </w:r>
      <w:r>
        <w:rPr>
          <w:spacing w:val="4"/>
        </w:rPr>
        <w:t>由各初赛组织单位推荐高职组初赛每个科目第</w:t>
      </w:r>
      <w:r>
        <w:rPr>
          <w:spacing w:val="3"/>
        </w:rPr>
        <w:t>一名（与推荐的省</w:t>
      </w:r>
    </w:p>
    <w:p>
      <w:pPr>
        <w:spacing w:line="356" w:lineRule="auto"/>
        <w:sectPr>
          <w:headerReference w:type="default" r:id="rId3"/>
          <w:footerReference w:type="default" r:id="rId4"/>
          <w:pgSz w:w="11906" w:h="16839"/>
          <w:pgMar w:top="400" w:right="1377" w:bottom="1454" w:left="1535" w:header="0" w:footer="1004" w:gutter="0"/>
        </w:sectPr>
        <w:rPr/>
      </w:pP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2" w:right="314"/>
        <w:spacing w:before="101" w:line="351" w:lineRule="auto"/>
        <w:rPr/>
      </w:pPr>
      <w:r>
        <w:rPr>
          <w:spacing w:val="16"/>
        </w:rPr>
        <w:t>赛奖项等次无关）参加视频决赛，遴选出高职组每个科目前</w:t>
      </w:r>
      <w:r>
        <w:rPr>
          <w:rFonts w:ascii="Times New Roman" w:hAnsi="Times New Roman" w:eastAsia="Times New Roman" w:cs="Times New Roman"/>
          <w:spacing w:val="16"/>
        </w:rPr>
        <w:t>20</w:t>
      </w:r>
      <w:r>
        <w:rPr>
          <w:spacing w:val="8"/>
        </w:rPr>
        <w:t>名；第二步组织高职组每个科目前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 </w:t>
      </w:r>
      <w:r>
        <w:rPr>
          <w:spacing w:val="8"/>
        </w:rPr>
        <w:t>名选手参加现场决赛。</w:t>
      </w:r>
    </w:p>
    <w:p>
      <w:pPr>
        <w:ind w:left="659"/>
        <w:spacing w:before="66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六、教学视频内容及计分办法</w:t>
      </w:r>
    </w:p>
    <w:p>
      <w:pPr>
        <w:pStyle w:val="BodyText"/>
        <w:ind w:left="11" w:right="313" w:firstLine="630"/>
        <w:spacing w:before="206" w:line="343" w:lineRule="auto"/>
        <w:rPr/>
      </w:pPr>
      <w:r>
        <w:rPr>
          <w:rFonts w:ascii="KaiTi" w:hAnsi="KaiTi" w:eastAsia="KaiTi" w:cs="KaiTi"/>
          <w:spacing w:val="5"/>
        </w:rPr>
        <w:t>（一）参赛课程。</w:t>
      </w:r>
      <w:r>
        <w:rPr>
          <w:spacing w:val="5"/>
        </w:rPr>
        <w:t>参赛课程须为近三学年选手连续主讲的教</w:t>
      </w:r>
      <w:r>
        <w:rPr>
          <w:spacing w:val="4"/>
        </w:rPr>
        <w:t>学课程；参赛课程的实际学分要求不得少于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个学分（含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个学</w:t>
      </w:r>
      <w:r>
        <w:rPr>
          <w:spacing w:val="-2"/>
        </w:rPr>
        <w:t>分）。</w:t>
      </w:r>
    </w:p>
    <w:p>
      <w:pPr>
        <w:pStyle w:val="BodyText"/>
        <w:ind w:firstLine="691"/>
        <w:spacing w:before="74" w:line="348" w:lineRule="auto"/>
        <w:rPr/>
      </w:pPr>
      <w:r>
        <w:rPr>
          <w:rFonts w:ascii="KaiTi" w:hAnsi="KaiTi" w:eastAsia="KaiTi" w:cs="KaiTi"/>
          <w:spacing w:val="15"/>
        </w:rPr>
        <w:t>（二）视频内容。</w:t>
      </w:r>
      <w:r>
        <w:rPr>
          <w:spacing w:val="15"/>
        </w:rPr>
        <w:t>选手需录制一节课堂教学（“无生教学”</w:t>
      </w:r>
      <w:r>
        <w:rPr>
          <w:spacing w:val="10"/>
        </w:rPr>
        <w:t>形式）视频，时长不超过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20 </w:t>
      </w:r>
      <w:r>
        <w:rPr>
          <w:spacing w:val="10"/>
        </w:rPr>
        <w:t>分钟。评委主要从教学内容、教学</w:t>
      </w:r>
      <w:r>
        <w:rPr/>
        <w:t xml:space="preserve"> </w:t>
      </w:r>
      <w:r>
        <w:rPr>
          <w:spacing w:val="5"/>
        </w:rPr>
        <w:t>组织、教学语言与教态、教学特色四个方面进行评审。具体评分</w:t>
      </w:r>
      <w:r>
        <w:rPr>
          <w:spacing w:val="5"/>
        </w:rPr>
        <w:t xml:space="preserve"> </w:t>
      </w:r>
      <w:r>
        <w:rPr>
          <w:spacing w:val="2"/>
        </w:rPr>
        <w:t>细则见附件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-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。视频要求为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2"/>
        </w:rPr>
        <w:t>4 </w:t>
      </w:r>
      <w:r>
        <w:rPr>
          <w:spacing w:val="2"/>
        </w:rPr>
        <w:t>格式，分辨率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720P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spacing w:val="2"/>
        </w:rPr>
        <w:t>以上，大</w:t>
      </w:r>
      <w:r>
        <w:rPr>
          <w:spacing w:val="7"/>
        </w:rPr>
        <w:t>小不超过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1200</w:t>
      </w:r>
      <w:r>
        <w:rPr>
          <w:rFonts w:ascii="Times New Roman" w:hAnsi="Times New Roman" w:eastAsia="Times New Roman" w:cs="Times New Roman"/>
        </w:rPr>
        <w:t>Mb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7"/>
        </w:rPr>
        <w:t>。视频中选手必须出镜，图像清晰稳定</w:t>
      </w:r>
      <w:r>
        <w:rPr>
          <w:spacing w:val="6"/>
        </w:rPr>
        <w:t>，声音</w:t>
      </w:r>
      <w:r>
        <w:rPr>
          <w:spacing w:val="9"/>
        </w:rPr>
        <w:t>清楚。教学过程须全程连续录制，不得分段录制和剪辑。</w:t>
      </w:r>
    </w:p>
    <w:p>
      <w:pPr>
        <w:pStyle w:val="BodyText"/>
        <w:ind w:left="14" w:right="275" w:firstLine="626"/>
        <w:spacing w:before="95" w:line="359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2"/>
        </w:rPr>
        <w:t xml:space="preserve"> </w:t>
      </w:r>
      <w:r>
        <w:rPr>
          <w:rFonts w:ascii="KaiTi" w:hAnsi="KaiTi" w:eastAsia="KaiTi" w:cs="KaiTi"/>
          <w:spacing w:val="2"/>
        </w:rPr>
        <w:t>三）计分办法。</w:t>
      </w:r>
      <w:r>
        <w:rPr>
          <w:spacing w:val="2"/>
        </w:rPr>
        <w:t>评委评分实行实名制。选手的得分为去掉</w:t>
      </w:r>
      <w:r>
        <w:rPr>
          <w:spacing w:val="6"/>
        </w:rPr>
        <w:t>一个最高分和一个最低分后的平均分。为确保比赛的公平公正，</w:t>
      </w:r>
      <w:r>
        <w:rPr>
          <w:spacing w:val="5"/>
        </w:rPr>
        <w:t>对在视频决赛过程中出现赛事违纪违规行为的选手，将在其得分</w:t>
      </w:r>
      <w:r>
        <w:rPr>
          <w:spacing w:val="7"/>
        </w:rPr>
        <w:t>中予以扣分处理（扣分规定见附件</w:t>
      </w: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spacing w:val="7"/>
        </w:rPr>
        <w:t>-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）。</w:t>
      </w:r>
    </w:p>
    <w:p>
      <w:pPr>
        <w:pStyle w:val="BodyText"/>
        <w:ind w:left="637"/>
        <w:spacing w:before="1" w:line="218" w:lineRule="auto"/>
        <w:rPr/>
      </w:pPr>
      <w:r>
        <w:rPr>
          <w:spacing w:val="8"/>
        </w:rPr>
        <w:t>本方案未尽事宜，将以补充通知形式予以明确。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628" w:right="313" w:hanging="958"/>
        <w:spacing w:before="101" w:line="354" w:lineRule="auto"/>
        <w:rPr/>
      </w:pPr>
      <w:r>
        <w:rPr>
          <w:spacing w:val="3"/>
        </w:rPr>
        <w:t>附件：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-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.</w:t>
      </w:r>
      <w:r>
        <w:rPr>
          <w:rFonts w:ascii="Times New Roman" w:hAnsi="Times New Roman" w:eastAsia="Times New Roman" w:cs="Times New Roman"/>
          <w:spacing w:val="3"/>
        </w:rPr>
        <w:t>2026</w:t>
      </w:r>
      <w:r>
        <w:rPr>
          <w:spacing w:val="3"/>
        </w:rPr>
        <w:t>年度高职组市级初赛“教学设计”评分细则</w:t>
      </w:r>
      <w:r>
        <w:rPr>
          <w:rFonts w:ascii="Times New Roman" w:hAnsi="Times New Roman" w:eastAsia="Times New Roman" w:cs="Times New Roman"/>
          <w:spacing w:val="3"/>
        </w:rPr>
        <w:t>1</w:t>
      </w:r>
      <w:r>
        <w:rPr>
          <w:spacing w:val="3"/>
        </w:rPr>
        <w:t>-</w:t>
      </w: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.</w:t>
      </w:r>
      <w:r>
        <w:rPr>
          <w:rFonts w:ascii="Times New Roman" w:hAnsi="Times New Roman" w:eastAsia="Times New Roman" w:cs="Times New Roman"/>
          <w:spacing w:val="3"/>
        </w:rPr>
        <w:t>2026</w:t>
      </w:r>
      <w:r>
        <w:rPr>
          <w:spacing w:val="3"/>
        </w:rPr>
        <w:t>年度高职组市级初赛“教学视频”评分</w:t>
      </w:r>
      <w:r>
        <w:rPr>
          <w:spacing w:val="2"/>
        </w:rPr>
        <w:t>细则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-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.开封市教体系统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2026 </w:t>
      </w:r>
      <w:r>
        <w:rPr>
          <w:spacing w:val="8"/>
        </w:rPr>
        <w:t>年度教学技能竞赛违纪违</w:t>
      </w:r>
    </w:p>
    <w:p>
      <w:pPr>
        <w:pStyle w:val="BodyText"/>
        <w:ind w:left="2255"/>
        <w:spacing w:before="74" w:line="220" w:lineRule="auto"/>
        <w:rPr/>
      </w:pPr>
      <w:r>
        <w:rPr>
          <w:spacing w:val="5"/>
        </w:rPr>
        <w:t>规处理办法</w:t>
      </w:r>
    </w:p>
    <w:p>
      <w:pPr>
        <w:spacing w:line="220" w:lineRule="auto"/>
        <w:sectPr>
          <w:footerReference w:type="default" r:id="rId6"/>
          <w:pgSz w:w="11906" w:h="16839"/>
          <w:pgMar w:top="400" w:right="1217" w:bottom="1454" w:left="1535" w:header="0" w:footer="1008" w:gutter="0"/>
        </w:sectPr>
        <w:rPr/>
      </w:pP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91" w:line="369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6"/>
          <w:position w:val="1"/>
        </w:rPr>
        <w:t>附件</w:t>
      </w:r>
      <w:r>
        <w:rPr>
          <w:rFonts w:ascii="Times New Roman" w:hAnsi="Times New Roman" w:eastAsia="Times New Roman" w:cs="Times New Roman"/>
          <w:sz w:val="28"/>
          <w:szCs w:val="28"/>
          <w:spacing w:val="-6"/>
          <w:position w:val="1"/>
        </w:rPr>
        <w:t>1</w:t>
      </w:r>
      <w:r>
        <w:rPr>
          <w:sz w:val="28"/>
          <w:szCs w:val="28"/>
          <w:spacing w:val="-6"/>
          <w:position w:val="1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spacing w:val="-6"/>
          <w:position w:val="1"/>
        </w:rPr>
        <w:t>1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1937"/>
        <w:spacing w:before="185" w:line="445" w:lineRule="exact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5"/>
          <w:position w:val="-2"/>
        </w:rPr>
        <w:t>2026年度高职组市级初赛</w:t>
      </w:r>
    </w:p>
    <w:p>
      <w:pPr>
        <w:ind w:left="2442"/>
        <w:spacing w:before="214" w:line="445" w:lineRule="exact"/>
        <w:outlineLvl w:val="0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position w:val="22"/>
        </w:rPr>
        <w:drawing>
          <wp:inline distT="0" distB="0" distL="0" distR="0">
            <wp:extent cx="127327" cy="8610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327" cy="8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44"/>
          <w:szCs w:val="44"/>
          <w:position w:val="-2"/>
        </w:rPr>
        <w:t>教学设计</w:t>
      </w:r>
      <w:r>
        <w:rPr>
          <w:sz w:val="44"/>
          <w:szCs w:val="44"/>
          <w:position w:val="22"/>
        </w:rPr>
        <w:drawing>
          <wp:inline distT="0" distB="0" distL="0" distR="0">
            <wp:extent cx="127327" cy="8610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7327" cy="8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YaHei" w:hAnsi="Microsoft YaHei" w:eastAsia="Microsoft YaHei" w:cs="Microsoft YaHei"/>
          <w:sz w:val="44"/>
          <w:szCs w:val="44"/>
          <w:spacing w:val="103"/>
          <w:position w:val="-2"/>
        </w:rPr>
        <w:t xml:space="preserve"> </w:t>
      </w:r>
      <w:r>
        <w:rPr>
          <w:rFonts w:ascii="Microsoft YaHei" w:hAnsi="Microsoft YaHei" w:eastAsia="Microsoft YaHei" w:cs="Microsoft YaHei"/>
          <w:sz w:val="44"/>
          <w:szCs w:val="44"/>
          <w:position w:val="-2"/>
        </w:rPr>
        <w:t>评分细则</w:t>
      </w:r>
    </w:p>
    <w:p>
      <w:pPr>
        <w:ind w:left="3377"/>
        <w:spacing w:before="192" w:line="418" w:lineRule="exact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5"/>
          <w:position w:val="2"/>
        </w:rPr>
        <w:t>（</w:t>
      </w:r>
      <w:r>
        <w:rPr>
          <w:rFonts w:ascii="KaiTi" w:hAnsi="KaiTi" w:eastAsia="KaiTi" w:cs="KaiTi"/>
          <w:sz w:val="31"/>
          <w:szCs w:val="31"/>
          <w:spacing w:val="-73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5"/>
          <w:position w:val="2"/>
        </w:rPr>
        <w:t>满分</w:t>
      </w:r>
      <w:r>
        <w:rPr>
          <w:rFonts w:ascii="KaiTi" w:hAnsi="KaiTi" w:eastAsia="KaiTi" w:cs="KaiTi"/>
          <w:sz w:val="31"/>
          <w:szCs w:val="31"/>
          <w:spacing w:val="-6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  <w:position w:val="2"/>
        </w:rPr>
        <w:t>20 </w:t>
      </w:r>
      <w:r>
        <w:rPr>
          <w:rFonts w:ascii="KaiTi" w:hAnsi="KaiTi" w:eastAsia="KaiTi" w:cs="KaiTi"/>
          <w:sz w:val="31"/>
          <w:szCs w:val="31"/>
          <w:spacing w:val="-5"/>
          <w:position w:val="2"/>
        </w:rPr>
        <w:t>分）</w:t>
      </w:r>
    </w:p>
    <w:p>
      <w:pPr>
        <w:spacing w:before="46"/>
        <w:rPr/>
      </w:pPr>
      <w:r/>
    </w:p>
    <w:p>
      <w:pPr>
        <w:spacing w:before="45"/>
        <w:rPr/>
      </w:pPr>
      <w:r/>
    </w:p>
    <w:tbl>
      <w:tblPr>
        <w:tblStyle w:val="TableNormal"/>
        <w:tblW w:w="7966" w:type="dxa"/>
        <w:tblInd w:w="42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07"/>
        <w:gridCol w:w="5666"/>
        <w:gridCol w:w="893"/>
      </w:tblGrid>
      <w:tr>
        <w:trPr>
          <w:trHeight w:val="863" w:hRule="atLeast"/>
        </w:trPr>
        <w:tc>
          <w:tcPr>
            <w:tcW w:w="1407" w:type="dxa"/>
            <w:vAlign w:val="top"/>
          </w:tcPr>
          <w:p>
            <w:pPr>
              <w:ind w:left="431"/>
              <w:spacing w:before="2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项目</w:t>
            </w:r>
          </w:p>
        </w:tc>
        <w:tc>
          <w:tcPr>
            <w:tcW w:w="5666" w:type="dxa"/>
            <w:vAlign w:val="top"/>
          </w:tcPr>
          <w:p>
            <w:pPr>
              <w:ind w:left="2280"/>
              <w:spacing w:before="282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评测要求</w:t>
            </w:r>
          </w:p>
        </w:tc>
        <w:tc>
          <w:tcPr>
            <w:tcW w:w="893" w:type="dxa"/>
            <w:vAlign w:val="top"/>
          </w:tcPr>
          <w:p>
            <w:pPr>
              <w:ind w:left="181"/>
              <w:spacing w:before="282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分值</w:t>
            </w:r>
          </w:p>
        </w:tc>
      </w:tr>
      <w:tr>
        <w:trPr>
          <w:trHeight w:val="1158" w:hRule="atLeast"/>
        </w:trPr>
        <w:tc>
          <w:tcPr>
            <w:tcW w:w="14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109" w:right="103" w:firstLine="10"/>
              <w:spacing w:before="91" w:line="222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教学设计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分）</w:t>
            </w:r>
          </w:p>
        </w:tc>
        <w:tc>
          <w:tcPr>
            <w:tcW w:w="5666" w:type="dxa"/>
            <w:vAlign w:val="top"/>
          </w:tcPr>
          <w:p>
            <w:pPr>
              <w:pStyle w:val="TableText"/>
              <w:spacing w:line="335" w:lineRule="auto"/>
              <w:rPr/>
            </w:pPr>
            <w:r/>
          </w:p>
          <w:p>
            <w:pPr>
              <w:spacing w:before="91" w:line="214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紧密围绕立德树人根本任务，突出课程思政。</w:t>
            </w:r>
          </w:p>
        </w:tc>
        <w:tc>
          <w:tcPr>
            <w:tcW w:w="893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380"/>
              <w:spacing w:before="81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2</w:t>
            </w:r>
          </w:p>
        </w:tc>
      </w:tr>
      <w:tr>
        <w:trPr>
          <w:trHeight w:val="618" w:hRule="atLeast"/>
        </w:trPr>
        <w:tc>
          <w:tcPr>
            <w:tcW w:w="1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6" w:type="dxa"/>
            <w:vAlign w:val="top"/>
          </w:tcPr>
          <w:p>
            <w:pPr>
              <w:ind w:left="121"/>
              <w:spacing w:before="160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符合教学大纲，内容充实，反映学科前沿。</w:t>
            </w:r>
          </w:p>
        </w:tc>
        <w:tc>
          <w:tcPr>
            <w:tcW w:w="893" w:type="dxa"/>
            <w:vAlign w:val="top"/>
          </w:tcPr>
          <w:p>
            <w:pPr>
              <w:ind w:left="379"/>
              <w:spacing w:before="115" w:line="36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4</w:t>
            </w:r>
          </w:p>
        </w:tc>
      </w:tr>
      <w:tr>
        <w:trPr>
          <w:trHeight w:val="619" w:hRule="atLeast"/>
        </w:trPr>
        <w:tc>
          <w:tcPr>
            <w:tcW w:w="1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6" w:type="dxa"/>
            <w:vAlign w:val="top"/>
          </w:tcPr>
          <w:p>
            <w:pPr>
              <w:ind w:left="114"/>
              <w:spacing w:before="161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教学目标明确、任务清晰。</w:t>
            </w:r>
          </w:p>
        </w:tc>
        <w:tc>
          <w:tcPr>
            <w:tcW w:w="893" w:type="dxa"/>
            <w:vAlign w:val="top"/>
          </w:tcPr>
          <w:p>
            <w:pPr>
              <w:ind w:left="379"/>
              <w:spacing w:before="116" w:line="36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1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6" w:type="dxa"/>
            <w:vAlign w:val="top"/>
          </w:tcPr>
          <w:p>
            <w:pPr>
              <w:ind w:left="119"/>
              <w:spacing w:before="205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准确把握课程的重点和难点，针对性强。</w:t>
            </w:r>
          </w:p>
        </w:tc>
        <w:tc>
          <w:tcPr>
            <w:tcW w:w="893" w:type="dxa"/>
            <w:vAlign w:val="top"/>
          </w:tcPr>
          <w:p>
            <w:pPr>
              <w:ind w:left="379"/>
              <w:spacing w:before="159" w:line="36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4</w:t>
            </w:r>
          </w:p>
        </w:tc>
      </w:tr>
      <w:tr>
        <w:trPr>
          <w:trHeight w:val="1147" w:hRule="atLeast"/>
        </w:trPr>
        <w:tc>
          <w:tcPr>
            <w:tcW w:w="14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6" w:type="dxa"/>
            <w:vAlign w:val="top"/>
          </w:tcPr>
          <w:p>
            <w:pPr>
              <w:pStyle w:val="TableText"/>
              <w:spacing w:line="333" w:lineRule="auto"/>
              <w:rPr/>
            </w:pPr>
            <w:r/>
          </w:p>
          <w:p>
            <w:pPr>
              <w:spacing w:before="91" w:line="214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"/>
              </w:rPr>
              <w:t>教学进程组织合理，方法手段运用恰当有效。</w:t>
            </w:r>
          </w:p>
        </w:tc>
        <w:tc>
          <w:tcPr>
            <w:tcW w:w="893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379"/>
              <w:spacing w:before="81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4</w:t>
            </w:r>
          </w:p>
        </w:tc>
      </w:tr>
      <w:tr>
        <w:trPr>
          <w:trHeight w:val="725" w:hRule="atLeast"/>
        </w:trPr>
        <w:tc>
          <w:tcPr>
            <w:tcW w:w="14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666" w:type="dxa"/>
            <w:vAlign w:val="top"/>
          </w:tcPr>
          <w:p>
            <w:pPr>
              <w:ind w:left="126"/>
              <w:spacing w:before="215" w:line="213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文字表达准确、简洁，阐述清楚。</w:t>
            </w:r>
          </w:p>
        </w:tc>
        <w:tc>
          <w:tcPr>
            <w:tcW w:w="893" w:type="dxa"/>
            <w:vAlign w:val="top"/>
          </w:tcPr>
          <w:p>
            <w:pPr>
              <w:ind w:left="380"/>
              <w:spacing w:before="169" w:line="36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6" w:h="16839"/>
          <w:pgMar w:top="400" w:right="1785" w:bottom="1454" w:left="1539" w:header="0" w:footer="100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128"/>
        <w:spacing w:before="185" w:line="445" w:lineRule="exact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4"/>
          <w:position w:val="-2"/>
        </w:rPr>
        <w:t>2026年度高职组市级初赛</w:t>
      </w:r>
    </w:p>
    <w:p>
      <w:pPr>
        <w:ind w:firstLine="4621"/>
        <w:spacing w:before="233" w:line="136" w:lineRule="exact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1672296</wp:posOffset>
            </wp:positionH>
            <wp:positionV relativeFrom="paragraph">
              <wp:posOffset>148495</wp:posOffset>
            </wp:positionV>
            <wp:extent cx="121251" cy="86101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51" cy="86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21251" cy="8610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251" cy="8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287"/>
        <w:spacing w:before="101" w:line="418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  <w:position w:val="2"/>
        </w:rPr>
        <w:t>（</w:t>
      </w:r>
      <w:r>
        <w:rPr>
          <w:rFonts w:ascii="KaiTi" w:hAnsi="KaiTi" w:eastAsia="KaiTi" w:cs="KaiTi"/>
          <w:sz w:val="31"/>
          <w:szCs w:val="31"/>
          <w:spacing w:val="-62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  <w:position w:val="2"/>
        </w:rPr>
        <w:t>满分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100</w:t>
      </w:r>
      <w:r>
        <w:rPr>
          <w:rFonts w:ascii="KaiTi" w:hAnsi="KaiTi" w:eastAsia="KaiTi" w:cs="KaiTi"/>
          <w:sz w:val="31"/>
          <w:szCs w:val="31"/>
          <w:spacing w:val="3"/>
          <w:position w:val="2"/>
        </w:rPr>
        <w:t>分，</w:t>
      </w:r>
      <w:r>
        <w:rPr>
          <w:rFonts w:ascii="KaiTi" w:hAnsi="KaiTi" w:eastAsia="KaiTi" w:cs="KaiTi"/>
          <w:sz w:val="31"/>
          <w:szCs w:val="31"/>
          <w:spacing w:val="-79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3"/>
          <w:position w:val="2"/>
        </w:rPr>
        <w:t>占比</w:t>
      </w:r>
      <w:r>
        <w:rPr>
          <w:rFonts w:ascii="Times New Roman" w:hAnsi="Times New Roman" w:eastAsia="Times New Roman" w:cs="Times New Roman"/>
          <w:sz w:val="31"/>
          <w:szCs w:val="31"/>
          <w:spacing w:val="3"/>
          <w:position w:val="2"/>
        </w:rPr>
        <w:t>80</w:t>
      </w:r>
      <w:r>
        <w:rPr>
          <w:rFonts w:ascii="KaiTi" w:hAnsi="KaiTi" w:eastAsia="KaiTi" w:cs="KaiTi"/>
          <w:sz w:val="31"/>
          <w:szCs w:val="31"/>
          <w:spacing w:val="3"/>
          <w:position w:val="2"/>
        </w:rPr>
        <w:t>%，加上教学设计得分，即为选手总分）</w:t>
      </w:r>
    </w:p>
    <w:p>
      <w:pPr>
        <w:spacing w:line="14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0"/>
        <w:gridCol w:w="1320"/>
        <w:gridCol w:w="5867"/>
        <w:gridCol w:w="915"/>
      </w:tblGrid>
      <w:tr>
        <w:trPr>
          <w:trHeight w:val="655" w:hRule="atLeast"/>
        </w:trPr>
        <w:tc>
          <w:tcPr>
            <w:tcW w:w="1100" w:type="dxa"/>
            <w:vAlign w:val="top"/>
          </w:tcPr>
          <w:p>
            <w:pPr>
              <w:ind w:left="238"/>
              <w:spacing w:before="25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项目</w:t>
            </w:r>
          </w:p>
        </w:tc>
        <w:tc>
          <w:tcPr>
            <w:tcW w:w="7187" w:type="dxa"/>
            <w:vAlign w:val="top"/>
            <w:gridSpan w:val="2"/>
          </w:tcPr>
          <w:p>
            <w:pPr>
              <w:ind w:left="3039"/>
              <w:spacing w:before="25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评测要求</w:t>
            </w:r>
          </w:p>
        </w:tc>
        <w:tc>
          <w:tcPr>
            <w:tcW w:w="915" w:type="dxa"/>
            <w:vAlign w:val="top"/>
          </w:tcPr>
          <w:p>
            <w:pPr>
              <w:ind w:left="192"/>
              <w:spacing w:before="254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8"/>
              </w:rPr>
              <w:t>分值</w:t>
            </w:r>
          </w:p>
        </w:tc>
      </w:tr>
      <w:tr>
        <w:trPr>
          <w:trHeight w:val="480" w:hRule="atLeast"/>
        </w:trPr>
        <w:tc>
          <w:tcPr>
            <w:tcW w:w="11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99" w:right="196" w:firstLine="80"/>
              <w:spacing w:before="91" w:line="203" w:lineRule="auto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课堂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35"/>
              </w:rPr>
              <w:t>教学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100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35"/>
              </w:rPr>
              <w:t>分）</w:t>
            </w:r>
          </w:p>
        </w:tc>
        <w:tc>
          <w:tcPr>
            <w:tcW w:w="13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386"/>
              <w:spacing w:before="91" w:line="19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教学</w:t>
            </w:r>
          </w:p>
          <w:p>
            <w:pPr>
              <w:ind w:left="425"/>
              <w:spacing w:line="17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5"/>
              </w:rPr>
              <w:t>内容</w:t>
            </w:r>
          </w:p>
          <w:p>
            <w:pPr>
              <w:ind w:left="104"/>
              <w:spacing w:line="407" w:lineRule="exac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  <w:position w:val="2"/>
              </w:rPr>
              <w:t>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  <w:position w:val="2"/>
              </w:rPr>
              <w:t>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3"/>
                <w:position w:val="2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  <w:position w:val="2"/>
              </w:rPr>
              <w:t>分）</w:t>
            </w:r>
          </w:p>
        </w:tc>
        <w:tc>
          <w:tcPr>
            <w:tcW w:w="5867" w:type="dxa"/>
            <w:vAlign w:val="top"/>
          </w:tcPr>
          <w:p>
            <w:pPr>
              <w:ind w:left="123"/>
              <w:spacing w:before="87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贯彻立德树人的根本任务，突出课程思政。</w:t>
            </w:r>
          </w:p>
        </w:tc>
        <w:tc>
          <w:tcPr>
            <w:tcW w:w="915" w:type="dxa"/>
            <w:vAlign w:val="top"/>
          </w:tcPr>
          <w:p>
            <w:pPr>
              <w:ind w:left="400"/>
              <w:spacing w:before="45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8</w:t>
            </w:r>
          </w:p>
        </w:tc>
      </w:tr>
      <w:tr>
        <w:trPr>
          <w:trHeight w:val="457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ind w:left="118"/>
              <w:spacing w:before="78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理论联系实际，符合学生的特点。</w:t>
            </w:r>
          </w:p>
        </w:tc>
        <w:tc>
          <w:tcPr>
            <w:tcW w:w="915" w:type="dxa"/>
            <w:vAlign w:val="top"/>
          </w:tcPr>
          <w:p>
            <w:pPr>
              <w:ind w:left="400"/>
              <w:spacing w:before="35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8</w:t>
            </w:r>
          </w:p>
        </w:tc>
      </w:tr>
      <w:tr>
        <w:trPr>
          <w:trHeight w:val="792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ind w:left="126" w:right="156" w:hanging="5"/>
              <w:spacing w:before="95" w:line="20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注重学术性，内容充实，信息量充分，渗透专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业思想，为教学目标服务。</w:t>
            </w:r>
          </w:p>
        </w:tc>
        <w:tc>
          <w:tcPr>
            <w:tcW w:w="915" w:type="dxa"/>
            <w:vAlign w:val="top"/>
          </w:tcPr>
          <w:p>
            <w:pPr>
              <w:ind w:left="400"/>
              <w:spacing w:before="202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8</w:t>
            </w:r>
          </w:p>
        </w:tc>
      </w:tr>
      <w:tr>
        <w:trPr>
          <w:trHeight w:val="786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spacing w:before="244" w:line="214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8"/>
              </w:rPr>
              <w:t>反映或联系学科发展新思想、新概念、新成果。</w:t>
            </w:r>
          </w:p>
        </w:tc>
        <w:tc>
          <w:tcPr>
            <w:tcW w:w="915" w:type="dxa"/>
            <w:vAlign w:val="top"/>
          </w:tcPr>
          <w:p>
            <w:pPr>
              <w:ind w:left="397"/>
              <w:spacing w:before="293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rPr>
          <w:trHeight w:val="783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ind w:left="115" w:right="156" w:firstLine="12"/>
              <w:spacing w:before="91" w:line="20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重点突出，条理清楚，内容承前启后，循序渐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进。</w:t>
            </w:r>
          </w:p>
        </w:tc>
        <w:tc>
          <w:tcPr>
            <w:tcW w:w="915" w:type="dxa"/>
            <w:vAlign w:val="top"/>
          </w:tcPr>
          <w:p>
            <w:pPr>
              <w:ind w:left="346"/>
              <w:spacing w:before="198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2"/>
              </w:rPr>
              <w:t>11</w:t>
            </w:r>
          </w:p>
        </w:tc>
      </w:tr>
      <w:tr>
        <w:trPr>
          <w:trHeight w:val="783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04" w:right="20" w:firstLine="281"/>
              <w:spacing w:before="91" w:line="215" w:lineRule="auto"/>
              <w:tabs>
                <w:tab w:val="left" w:pos="389"/>
              </w:tabs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教学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ab/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6"/>
              </w:rPr>
              <w:t>组织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分）</w:t>
            </w:r>
          </w:p>
        </w:tc>
        <w:tc>
          <w:tcPr>
            <w:tcW w:w="5867" w:type="dxa"/>
            <w:vAlign w:val="top"/>
          </w:tcPr>
          <w:p>
            <w:pPr>
              <w:ind w:left="116" w:right="156" w:hanging="1"/>
              <w:spacing w:before="93" w:line="20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教学过程突出以学生为中心，安排合理，方法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运用灵活、恰当，教学设计方案体现完整。</w:t>
            </w:r>
          </w:p>
        </w:tc>
        <w:tc>
          <w:tcPr>
            <w:tcW w:w="915" w:type="dxa"/>
            <w:vAlign w:val="top"/>
          </w:tcPr>
          <w:p>
            <w:pPr>
              <w:ind w:left="346"/>
              <w:spacing w:before="199" w:line="36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2"/>
              </w:rPr>
              <w:t>12</w:t>
            </w:r>
          </w:p>
        </w:tc>
      </w:tr>
      <w:tr>
        <w:trPr>
          <w:trHeight w:val="791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spacing w:before="248" w:line="214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8"/>
              </w:rPr>
              <w:t>启发性强，能有效调动学生思维和学习积极性。</w:t>
            </w:r>
          </w:p>
        </w:tc>
        <w:tc>
          <w:tcPr>
            <w:tcW w:w="915" w:type="dxa"/>
            <w:vAlign w:val="top"/>
          </w:tcPr>
          <w:p>
            <w:pPr>
              <w:ind w:left="346"/>
              <w:spacing w:before="203" w:line="36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6"/>
                <w:position w:val="2"/>
              </w:rPr>
              <w:t>12</w:t>
            </w:r>
          </w:p>
        </w:tc>
      </w:tr>
      <w:tr>
        <w:trPr>
          <w:trHeight w:val="472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ind w:left="115"/>
              <w:spacing w:before="88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教学时间安排合理，课堂应变能力强。</w:t>
            </w:r>
          </w:p>
        </w:tc>
        <w:tc>
          <w:tcPr>
            <w:tcW w:w="915" w:type="dxa"/>
            <w:vAlign w:val="top"/>
          </w:tcPr>
          <w:p>
            <w:pPr>
              <w:ind w:left="397"/>
              <w:spacing w:before="139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rPr>
          <w:trHeight w:val="472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ind w:left="132"/>
              <w:spacing w:before="89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熟练、有效地运用多媒体等现代教学手段。</w:t>
            </w:r>
          </w:p>
        </w:tc>
        <w:tc>
          <w:tcPr>
            <w:tcW w:w="915" w:type="dxa"/>
            <w:vAlign w:val="top"/>
          </w:tcPr>
          <w:p>
            <w:pPr>
              <w:ind w:left="395"/>
              <w:spacing w:before="44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ind w:left="129" w:right="156" w:hanging="20"/>
              <w:spacing w:before="92" w:line="20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板书设计与教学内容紧密联系、结构合理，板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书与多媒体相配合，简洁、工整、美观。</w:t>
            </w:r>
          </w:p>
        </w:tc>
        <w:tc>
          <w:tcPr>
            <w:tcW w:w="915" w:type="dxa"/>
            <w:vAlign w:val="top"/>
          </w:tcPr>
          <w:p>
            <w:pPr>
              <w:ind w:left="397"/>
              <w:spacing w:before="292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</w:tr>
      <w:tr>
        <w:trPr>
          <w:trHeight w:val="779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0" w:lineRule="auto"/>
              <w:rPr/>
            </w:pPr>
            <w:r/>
          </w:p>
          <w:p>
            <w:pPr>
              <w:ind w:left="104" w:right="20" w:firstLine="279"/>
              <w:spacing w:before="91" w:line="215" w:lineRule="auto"/>
              <w:tabs>
                <w:tab w:val="left" w:pos="385"/>
              </w:tabs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4"/>
              </w:rPr>
              <w:t>语言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ab/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教态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分）</w:t>
            </w:r>
          </w:p>
        </w:tc>
        <w:tc>
          <w:tcPr>
            <w:tcW w:w="5867" w:type="dxa"/>
            <w:vAlign w:val="top"/>
          </w:tcPr>
          <w:p>
            <w:pPr>
              <w:ind w:left="114" w:right="156" w:hanging="2"/>
              <w:spacing w:before="90" w:line="206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语言清晰、流畅、准确、生动、发音标准，语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2"/>
              </w:rPr>
              <w:t>速节奏恰当。</w:t>
            </w:r>
          </w:p>
        </w:tc>
        <w:tc>
          <w:tcPr>
            <w:tcW w:w="915" w:type="dxa"/>
            <w:vAlign w:val="top"/>
          </w:tcPr>
          <w:p>
            <w:pPr>
              <w:ind w:left="395"/>
              <w:spacing w:before="198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6</w:t>
            </w:r>
          </w:p>
        </w:tc>
      </w:tr>
      <w:tr>
        <w:trPr>
          <w:trHeight w:val="488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ind w:left="117"/>
              <w:spacing w:before="97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肢体语言运用合理、恰当，教态自然大方。</w:t>
            </w:r>
          </w:p>
        </w:tc>
        <w:tc>
          <w:tcPr>
            <w:tcW w:w="915" w:type="dxa"/>
            <w:vAlign w:val="top"/>
          </w:tcPr>
          <w:p>
            <w:pPr>
              <w:ind w:left="388"/>
              <w:spacing w:before="52" w:line="369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4</w:t>
            </w:r>
          </w:p>
        </w:tc>
      </w:tr>
      <w:tr>
        <w:trPr>
          <w:trHeight w:val="488" w:hRule="atLeast"/>
        </w:trPr>
        <w:tc>
          <w:tcPr>
            <w:tcW w:w="11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867" w:type="dxa"/>
            <w:vAlign w:val="top"/>
          </w:tcPr>
          <w:p>
            <w:pPr>
              <w:ind w:left="115"/>
              <w:spacing w:before="96" w:line="214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教态仪表自然得体，精神饱满，亲和力强。</w:t>
            </w:r>
          </w:p>
        </w:tc>
        <w:tc>
          <w:tcPr>
            <w:tcW w:w="915" w:type="dxa"/>
            <w:vAlign w:val="top"/>
          </w:tcPr>
          <w:p>
            <w:pPr>
              <w:ind w:left="395"/>
              <w:spacing w:before="54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2"/>
              </w:rPr>
              <w:t>3</w:t>
            </w:r>
          </w:p>
        </w:tc>
      </w:tr>
      <w:tr>
        <w:trPr>
          <w:trHeight w:val="1083" w:hRule="atLeast"/>
        </w:trPr>
        <w:tc>
          <w:tcPr>
            <w:tcW w:w="11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20" w:type="dxa"/>
            <w:vAlign w:val="top"/>
          </w:tcPr>
          <w:p>
            <w:pPr>
              <w:ind w:left="386"/>
              <w:spacing w:before="92" w:line="198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5"/>
              </w:rPr>
              <w:t>教学</w:t>
            </w:r>
          </w:p>
          <w:p>
            <w:pPr>
              <w:ind w:left="131" w:right="133" w:firstLine="258"/>
              <w:spacing w:before="2" w:line="20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7"/>
              </w:rPr>
              <w:t>特色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17"/>
              </w:rPr>
              <w:t>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7"/>
              </w:rPr>
              <w:t>7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17"/>
              </w:rPr>
              <w:t>分）</w:t>
            </w:r>
          </w:p>
        </w:tc>
        <w:tc>
          <w:tcPr>
            <w:tcW w:w="5867" w:type="dxa"/>
            <w:vAlign w:val="top"/>
          </w:tcPr>
          <w:p>
            <w:pPr>
              <w:ind w:left="112" w:right="156" w:firstLine="2"/>
              <w:spacing w:before="242" w:line="20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1"/>
              </w:rPr>
              <w:t>教学理念先进、风格突出、感染力强、教学效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spacing w:val="-3"/>
              </w:rPr>
              <w:t>果好。</w:t>
            </w:r>
          </w:p>
        </w:tc>
        <w:tc>
          <w:tcPr>
            <w:tcW w:w="915" w:type="dxa"/>
            <w:vAlign w:val="top"/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393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1"/>
          <w:pgSz w:w="11906" w:h="16839"/>
          <w:pgMar w:top="2266" w:right="1349" w:bottom="1454" w:left="1349" w:header="1834" w:footer="1008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568"/>
        <w:spacing w:before="188" w:line="446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2"/>
          <w:position w:val="-2"/>
        </w:rPr>
        <w:t>开封市教体系统2026年度教学技能竞赛</w:t>
      </w:r>
    </w:p>
    <w:p>
      <w:pPr>
        <w:ind w:left="2659"/>
        <w:spacing w:before="214" w:line="445" w:lineRule="exact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position w:val="-2"/>
        </w:rPr>
        <w:t>违纪违规处理办法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right="81" w:firstLine="675"/>
        <w:spacing w:before="101" w:line="355" w:lineRule="auto"/>
        <w:rPr/>
      </w:pPr>
      <w:r>
        <w:rPr>
          <w:rFonts w:ascii="Times New Roman" w:hAnsi="Times New Roman" w:eastAsia="Times New Roman" w:cs="Times New Roman"/>
          <w:spacing w:val="11"/>
        </w:rPr>
        <w:t>1</w:t>
      </w:r>
      <w:r>
        <w:rPr>
          <w:spacing w:val="11"/>
        </w:rPr>
        <w:t>.教学设计和课堂教学节段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58"/>
        </w:rPr>
        <w:t xml:space="preserve"> </w:t>
      </w:r>
      <w:r>
        <w:rPr>
          <w:spacing w:val="11"/>
        </w:rPr>
        <w:t>中出现选手姓名、所属学</w:t>
      </w:r>
      <w:r>
        <w:rPr>
          <w:spacing w:val="10"/>
        </w:rPr>
        <w:t>校、所属地区等个人信息泄露的，酌情扣</w:t>
      </w:r>
      <w:r>
        <w:rPr>
          <w:rFonts w:ascii="Times New Roman" w:hAnsi="Times New Roman" w:eastAsia="Times New Roman" w:cs="Times New Roman"/>
          <w:spacing w:val="10"/>
        </w:rPr>
        <w:t>0.5</w:t>
      </w:r>
      <w:r>
        <w:rPr>
          <w:spacing w:val="10"/>
        </w:rPr>
        <w:t>-</w:t>
      </w:r>
      <w:r>
        <w:rPr>
          <w:rFonts w:ascii="Times New Roman" w:hAnsi="Times New Roman" w:eastAsia="Times New Roman" w:cs="Times New Roman"/>
          <w:spacing w:val="10"/>
        </w:rPr>
        <w:t>2 </w:t>
      </w:r>
      <w:r>
        <w:rPr>
          <w:spacing w:val="10"/>
        </w:rPr>
        <w:t>分。其中：泄露</w:t>
      </w:r>
      <w:r>
        <w:rPr>
          <w:spacing w:val="5"/>
        </w:rPr>
        <w:t>信息数量在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个的扣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0.5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5"/>
        </w:rPr>
        <w:t>分；数量在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</w:t>
      </w:r>
      <w:r>
        <w:rPr>
          <w:spacing w:val="5"/>
        </w:rPr>
        <w:t>-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5"/>
        </w:rPr>
        <w:t>个的扣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5"/>
        </w:rPr>
        <w:t>分；数量</w:t>
      </w:r>
      <w:r>
        <w:rPr>
          <w:spacing w:val="9"/>
        </w:rPr>
        <w:t>在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11 </w:t>
      </w:r>
      <w:r>
        <w:rPr>
          <w:spacing w:val="9"/>
        </w:rPr>
        <w:t>个及以上的扣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1.5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9"/>
        </w:rPr>
        <w:t>分；存在驳回修改后仍有再犯行为的，</w:t>
      </w:r>
      <w:r>
        <w:rPr>
          <w:spacing w:val="-1"/>
        </w:rPr>
        <w:t>扣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"/>
        </w:rPr>
        <w:t>分。</w:t>
      </w:r>
    </w:p>
    <w:p>
      <w:pPr>
        <w:pStyle w:val="BodyText"/>
        <w:ind w:left="6" w:right="83" w:firstLine="638"/>
        <w:spacing w:before="16" w:line="354" w:lineRule="auto"/>
        <w:rPr/>
      </w:pP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.教学设计和课堂教学节段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</w:rPr>
        <w:t>PPT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12"/>
        </w:rPr>
        <w:t>中，地图中存在横图、竖</w:t>
      </w:r>
      <w:r>
        <w:rPr>
          <w:spacing w:val="4"/>
        </w:rPr>
        <w:t>图使用不当、不规范的，扣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 </w:t>
      </w:r>
      <w:r>
        <w:rPr>
          <w:spacing w:val="4"/>
        </w:rPr>
        <w:t>分；存在领土、九段</w:t>
      </w:r>
      <w:r>
        <w:rPr>
          <w:spacing w:val="3"/>
        </w:rPr>
        <w:t>线缺失等主权</w:t>
      </w:r>
      <w:r>
        <w:rPr>
          <w:spacing w:val="6"/>
        </w:rPr>
        <w:t>相关问题的，扣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 </w:t>
      </w:r>
      <w:r>
        <w:rPr>
          <w:spacing w:val="6"/>
        </w:rPr>
        <w:t>分。</w:t>
      </w:r>
    </w:p>
    <w:p>
      <w:pPr>
        <w:pStyle w:val="BodyText"/>
        <w:ind w:left="12" w:right="81" w:firstLine="638"/>
        <w:spacing w:before="17" w:line="354" w:lineRule="auto"/>
        <w:rPr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.教学展示过程中出现选手姓名、所属学校</w:t>
      </w:r>
      <w:r>
        <w:rPr>
          <w:spacing w:val="4"/>
        </w:rPr>
        <w:t>、所属地区等个</w:t>
      </w:r>
      <w:r>
        <w:rPr>
          <w:spacing w:val="9"/>
        </w:rPr>
        <w:t>人信息泄露的，个人信息泄露次数在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-</w:t>
      </w:r>
      <w:r>
        <w:rPr>
          <w:rFonts w:ascii="Times New Roman" w:hAnsi="Times New Roman" w:eastAsia="Times New Roman" w:cs="Times New Roman"/>
          <w:spacing w:val="9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9"/>
        </w:rPr>
        <w:t>次的扣</w:t>
      </w:r>
      <w:r>
        <w:rPr>
          <w:rFonts w:ascii="Times New Roman" w:hAnsi="Times New Roman" w:eastAsia="Times New Roman" w:cs="Times New Roman"/>
          <w:spacing w:val="9"/>
        </w:rPr>
        <w:t>0.5 </w:t>
      </w:r>
      <w:r>
        <w:rPr>
          <w:spacing w:val="9"/>
        </w:rPr>
        <w:t>分；</w:t>
      </w:r>
      <w:r>
        <w:rPr>
          <w:rFonts w:ascii="Times New Roman" w:hAnsi="Times New Roman" w:eastAsia="Times New Roman" w:cs="Times New Roman"/>
          <w:spacing w:val="9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9"/>
        </w:rPr>
        <w:t>次及</w:t>
      </w:r>
      <w:r>
        <w:rPr>
          <w:spacing w:val="4"/>
        </w:rPr>
        <w:t>以上的，扣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 </w:t>
      </w:r>
      <w:r>
        <w:rPr>
          <w:spacing w:val="4"/>
        </w:rPr>
        <w:t>分。</w:t>
      </w:r>
    </w:p>
    <w:p>
      <w:pPr>
        <w:pStyle w:val="BodyText"/>
        <w:ind w:left="13" w:firstLine="629"/>
        <w:spacing w:before="17" w:line="347" w:lineRule="auto"/>
        <w:rPr/>
      </w:pPr>
      <w:r>
        <w:rPr>
          <w:rFonts w:ascii="Times New Roman" w:hAnsi="Times New Roman" w:eastAsia="Times New Roman" w:cs="Times New Roman"/>
          <w:spacing w:val="2"/>
        </w:rPr>
        <w:t>4</w:t>
      </w:r>
      <w:r>
        <w:rPr>
          <w:spacing w:val="2"/>
        </w:rPr>
        <w:t>.扰乱竞赛现场秩序的，酌情扣</w:t>
      </w:r>
      <w:r>
        <w:rPr>
          <w:rFonts w:ascii="Times New Roman" w:hAnsi="Times New Roman" w:eastAsia="Times New Roman" w:cs="Times New Roman"/>
          <w:spacing w:val="2"/>
        </w:rPr>
        <w:t>0.5</w:t>
      </w:r>
      <w:r>
        <w:rPr>
          <w:spacing w:val="2"/>
        </w:rPr>
        <w:t>-</w:t>
      </w:r>
      <w:r>
        <w:rPr>
          <w:rFonts w:ascii="Times New Roman" w:hAnsi="Times New Roman" w:eastAsia="Times New Roman" w:cs="Times New Roman"/>
          <w:spacing w:val="2"/>
        </w:rPr>
        <w:t>2 </w:t>
      </w:r>
      <w:r>
        <w:rPr>
          <w:spacing w:val="2"/>
        </w:rPr>
        <w:t>分，情节特别严重的，</w:t>
      </w:r>
      <w:r>
        <w:rPr>
          <w:spacing w:val="8"/>
        </w:rPr>
        <w:t>取消选手参赛资格或取消选手竞赛成绩。</w:t>
      </w:r>
    </w:p>
    <w:p>
      <w:pPr>
        <w:pStyle w:val="BodyText"/>
        <w:ind w:left="12" w:firstLine="641"/>
        <w:spacing w:before="81" w:line="357" w:lineRule="auto"/>
        <w:rPr/>
      </w:pPr>
      <w:r>
        <w:rPr>
          <w:rFonts w:ascii="Times New Roman" w:hAnsi="Times New Roman" w:eastAsia="Times New Roman" w:cs="Times New Roman"/>
          <w:spacing w:val="9"/>
        </w:rPr>
        <w:t>5</w:t>
      </w:r>
      <w:r>
        <w:rPr>
          <w:spacing w:val="9"/>
        </w:rPr>
        <w:t>.对于参赛材料不符合报送要求，存在知识点</w:t>
      </w:r>
      <w:r>
        <w:rPr>
          <w:spacing w:val="8"/>
        </w:rPr>
        <w:t>角度单一（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4"/>
        </w:rPr>
        <w:t>个学时覆盖的学科课型和年级单一</w:t>
      </w:r>
      <w:r>
        <w:rPr>
          <w:spacing w:val="-95"/>
        </w:rPr>
        <w:t>），</w:t>
      </w:r>
      <w:r>
        <w:rPr>
          <w:spacing w:val="4"/>
        </w:rPr>
        <w:t>内容和结构逻辑高度雷同，</w:t>
      </w:r>
      <w:r>
        <w:rPr>
          <w:spacing w:val="5"/>
        </w:rPr>
        <w:t>恶意抄袭等侵犯他人知识产权成果等违反教学规律行为的，将由</w:t>
      </w:r>
      <w:r>
        <w:rPr>
          <w:spacing w:val="5"/>
        </w:rPr>
        <w:t>决赛评审委员会视情况予以扣分处理。情节特别严重的，取消选</w:t>
      </w:r>
    </w:p>
    <w:p>
      <w:pPr>
        <w:spacing w:line="357" w:lineRule="auto"/>
        <w:sectPr>
          <w:headerReference w:type="default" r:id="rId14"/>
          <w:footerReference w:type="default" r:id="rId15"/>
          <w:pgSz w:w="11906" w:h="16839"/>
          <w:pgMar w:top="2266" w:right="1449" w:bottom="1454" w:left="1533" w:header="1834" w:footer="1008" w:gutter="0"/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19" w:lineRule="auto"/>
        <w:rPr/>
      </w:pPr>
      <w:r>
        <w:rPr>
          <w:spacing w:val="7"/>
        </w:rPr>
        <w:t>手参赛资格或取消选手竞赛成绩。</w:t>
      </w:r>
    </w:p>
    <w:p>
      <w:pPr>
        <w:pStyle w:val="BodyText"/>
        <w:ind w:firstLine="643"/>
        <w:spacing w:before="185" w:line="347" w:lineRule="auto"/>
        <w:rPr/>
      </w:pP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spacing w:val="5"/>
        </w:rPr>
        <w:t>.教学设计和课堂教学过程中，选手阐释、</w:t>
      </w:r>
      <w:r>
        <w:rPr>
          <w:spacing w:val="4"/>
        </w:rPr>
        <w:t>讲解存在政治立</w:t>
      </w:r>
      <w:r>
        <w:rPr>
          <w:spacing w:val="7"/>
        </w:rPr>
        <w:t>场与意识形态问题的，取消选手参赛资格或取消选手竞赛成绩。</w:t>
      </w:r>
    </w:p>
    <w:p>
      <w:pPr>
        <w:pStyle w:val="BodyText"/>
        <w:ind w:left="641"/>
        <w:spacing w:before="81" w:line="221" w:lineRule="auto"/>
        <w:rPr/>
      </w:pPr>
      <w:r>
        <w:rPr>
          <w:rFonts w:ascii="Times New Roman" w:hAnsi="Times New Roman" w:eastAsia="Times New Roman" w:cs="Times New Roman"/>
          <w:spacing w:val="6"/>
        </w:rPr>
        <w:t>7</w:t>
      </w:r>
      <w:r>
        <w:rPr>
          <w:spacing w:val="6"/>
        </w:rPr>
        <w:t>.其他违纪违规情况。</w:t>
      </w:r>
    </w:p>
    <w:p>
      <w:pPr>
        <w:pStyle w:val="BodyText"/>
        <w:ind w:left="645"/>
        <w:spacing w:before="228" w:line="219" w:lineRule="auto"/>
        <w:rPr/>
      </w:pPr>
      <w:r>
        <w:rPr>
          <w:spacing w:val="8"/>
        </w:rPr>
        <w:t>违纪违规情况经决赛评审委员会认定后予以处理。</w:t>
      </w:r>
    </w:p>
    <w:sectPr>
      <w:headerReference w:type="default" r:id="rId3"/>
      <w:footerReference w:type="default" r:id="rId16"/>
      <w:pgSz w:w="11906" w:h="16839"/>
      <w:pgMar w:top="400" w:right="1485" w:bottom="1454" w:left="1542" w:header="0" w:footer="10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40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6"/>
        <w:position w:val="4"/>
      </w:rPr>
      <w:t>—</w:t>
    </w:r>
    <w:r>
      <w:rPr>
        <w:rFonts w:ascii="SimSun" w:hAnsi="SimSun" w:eastAsia="SimSun" w:cs="SimSun"/>
        <w:sz w:val="28"/>
        <w:szCs w:val="28"/>
        <w:spacing w:val="31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6"/>
        <w:position w:val="4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8"/>
        <w:position w:val="4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28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13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40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14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913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15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line="436" w:lineRule="exac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16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7"/>
      <w:spacing w:line="436" w:lineRule="exact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  <w:r>
      <w:rPr>
        <w:rFonts w:ascii="SimSun" w:hAnsi="SimSun" w:eastAsia="SimSun" w:cs="SimSun"/>
        <w:sz w:val="28"/>
        <w:szCs w:val="28"/>
        <w:spacing w:val="32"/>
        <w:position w:val="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  <w:position w:val="4"/>
      </w:rPr>
      <w:t>17</w:t>
    </w:r>
    <w:r>
      <w:rPr>
        <w:rFonts w:ascii="Times New Roman" w:hAnsi="Times New Roman" w:eastAsia="Times New Roman" w:cs="Times New Roman"/>
        <w:sz w:val="28"/>
        <w:szCs w:val="28"/>
        <w:spacing w:val="3"/>
        <w:position w:val="4"/>
      </w:rPr>
      <w:t xml:space="preserve">  </w:t>
    </w:r>
    <w:r>
      <w:rPr>
        <w:rFonts w:ascii="SimSun" w:hAnsi="SimSun" w:eastAsia="SimSun" w:cs="SimSun"/>
        <w:sz w:val="28"/>
        <w:szCs w:val="28"/>
        <w:spacing w:val="-10"/>
        <w:position w:val="4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5"/>
      <w:spacing w:before="31" w:line="369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9"/>
        <w:position w:val="1"/>
      </w:rPr>
      <w:t>附件</w:t>
    </w:r>
    <w:r>
      <w:rPr>
        <w:rFonts w:ascii="Times New Roman" w:hAnsi="Times New Roman" w:eastAsia="Times New Roman" w:cs="Times New Roman"/>
        <w:sz w:val="28"/>
        <w:szCs w:val="28"/>
        <w:spacing w:val="-9"/>
        <w:position w:val="1"/>
      </w:rPr>
      <w:t>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08"/>
      <w:spacing w:before="31" w:line="369" w:lineRule="exact"/>
      <w:rPr>
        <w:rFonts w:ascii="Times New Roman" w:hAnsi="Times New Roman" w:eastAsia="Times New Roman" w:cs="Times New Roman"/>
        <w:sz w:val="28"/>
        <w:szCs w:val="28"/>
      </w:rPr>
    </w:pPr>
    <w:r>
      <w:pict>
        <v:shape id="PowerPlusWaterMarkObject2" style="position:absolute;margin-left:209.64pt;margin-top:181.568pt;mso-position-vertical-relative:page;mso-position-horizontal-relative:page;width:197.05pt;height:22.3pt;z-index:-251658240;" o:allowincell="f" fillcolor="#000000" filled="true" stroked="false" type="#_x0000_t136">
          <v:textpath style="font-family:&quot;Microsoft YaHei&quot;;font-size:22;v-text-kern:t;mso-text-shadow:auto" string="教学视频   评分细则"/>
        </v:shape>
      </w:pict>
    </w:r>
    <w:r>
      <w:rPr>
        <w:rFonts w:ascii="SimHei" w:hAnsi="SimHei" w:eastAsia="SimHei" w:cs="SimHei"/>
        <w:sz w:val="28"/>
        <w:szCs w:val="28"/>
        <w:spacing w:val="-12"/>
        <w:position w:val="1"/>
      </w:rPr>
      <w:t>附件</w:t>
    </w:r>
    <w:r>
      <w:rPr>
        <w:rFonts w:ascii="SimHei" w:hAnsi="SimHei" w:eastAsia="SimHei" w:cs="SimHei"/>
        <w:sz w:val="28"/>
        <w:szCs w:val="28"/>
        <w:spacing w:val="-37"/>
        <w:position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1</w:t>
    </w:r>
    <w:r>
      <w:rPr>
        <w:sz w:val="28"/>
        <w:szCs w:val="28"/>
        <w:spacing w:val="-12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-12"/>
        <w:position w:val="1"/>
      </w:rPr>
      <w:t>2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3"/>
      <w:spacing w:before="31" w:line="369" w:lineRule="exact"/>
      <w:rPr>
        <w:rFonts w:ascii="Times New Roman" w:hAnsi="Times New Roman" w:eastAsia="Times New Roman" w:cs="Times New Roman"/>
        <w:sz w:val="28"/>
        <w:szCs w:val="28"/>
      </w:rPr>
    </w:pPr>
    <w:r>
      <w:rPr>
        <w:rFonts w:ascii="SimHei" w:hAnsi="SimHei" w:eastAsia="SimHei" w:cs="SimHei"/>
        <w:sz w:val="28"/>
        <w:szCs w:val="28"/>
        <w:spacing w:val="-6"/>
        <w:position w:val="1"/>
      </w:rPr>
      <w:t>附件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1</w:t>
    </w:r>
    <w:r>
      <w:rPr>
        <w:sz w:val="28"/>
        <w:szCs w:val="28"/>
        <w:spacing w:val="-6"/>
        <w:position w:val="1"/>
      </w:rPr>
      <w:t>-</w:t>
    </w:r>
    <w:r>
      <w:rPr>
        <w:rFonts w:ascii="Times New Roman" w:hAnsi="Times New Roman" w:eastAsia="Times New Roman" w:cs="Times New Roman"/>
        <w:sz w:val="28"/>
        <w:szCs w:val="28"/>
        <w:spacing w:val="-6"/>
        <w:position w:val="1"/>
      </w:rPr>
      <w:t>3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yperlink" Target="http://www.moe.gov.cn/srcsite/A07/moe_953/202103/t20210319_521135.html" TargetMode="Externa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4.xm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footer" Target="footer5.xml"/><Relationship Id="rId10" Type="http://schemas.openxmlformats.org/officeDocument/2006/relationships/header" Target="header3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2026-05-09T15:18:05</vt:filetime>
  </property>
</Properties>
</file>